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6270209" w14:textId="3DB3FEF4" w:rsidR="000B1EDA" w:rsidRPr="000B1EDA" w:rsidRDefault="00D86636">
      <w:pPr>
        <w:jc w:val="both"/>
        <w:rPr>
          <w:rFonts w:ascii="Times New Roman" w:eastAsia="Times New Roman" w:hAnsi="Times New Roman" w:cs="Times New Roman"/>
        </w:rPr>
      </w:pPr>
      <w:r w:rsidRPr="000B1EDA">
        <w:rPr>
          <w:rFonts w:ascii="Times New Roman" w:eastAsia="Times New Roman" w:hAnsi="Times New Roman" w:cs="Times New Roman"/>
          <w:b/>
        </w:rPr>
        <w:t>Title:</w:t>
      </w:r>
      <w:r w:rsidRPr="000B1EDA">
        <w:rPr>
          <w:rFonts w:ascii="Times New Roman" w:eastAsia="Times New Roman" w:hAnsi="Times New Roman" w:cs="Times New Roman"/>
        </w:rPr>
        <w:t xml:space="preserve"> </w:t>
      </w:r>
      <w:r w:rsidR="000B1EDA" w:rsidRPr="000B1EDA">
        <w:rPr>
          <w:rFonts w:ascii="Times New Roman" w:eastAsia="Times New Roman" w:hAnsi="Times New Roman" w:cs="Times New Roman"/>
        </w:rPr>
        <w:t>Sociodemographic and general health factor association with high-risk human papilloma virus infection in a prospective study of females residing in Riga, Latvia</w:t>
      </w:r>
    </w:p>
    <w:p w14:paraId="0442233F" w14:textId="73C254A7" w:rsidR="006D66C1" w:rsidRPr="000B1EDA" w:rsidRDefault="000B1EDA">
      <w:pPr>
        <w:jc w:val="both"/>
        <w:rPr>
          <w:rFonts w:ascii="Times New Roman" w:eastAsia="Times New Roman" w:hAnsi="Times New Roman" w:cs="Times New Roman"/>
        </w:rPr>
      </w:pPr>
      <w:r w:rsidRPr="000B1EDA">
        <w:rPr>
          <w:rFonts w:ascii="Times New Roman" w:eastAsia="Times New Roman" w:hAnsi="Times New Roman" w:cs="Times New Roman"/>
        </w:rPr>
        <w:t xml:space="preserve">Kiselova </w:t>
      </w:r>
      <w:r w:rsidR="006D66C1" w:rsidRPr="000B1EDA">
        <w:rPr>
          <w:rFonts w:ascii="Times New Roman" w:eastAsia="Times New Roman" w:hAnsi="Times New Roman" w:cs="Times New Roman"/>
        </w:rPr>
        <w:t>Viola</w:t>
      </w:r>
      <w:r w:rsidR="00E2400C" w:rsidRPr="000B1EDA">
        <w:rPr>
          <w:rFonts w:ascii="Times New Roman" w:eastAsia="Times New Roman" w:hAnsi="Times New Roman" w:cs="Times New Roman"/>
        </w:rPr>
        <w:t xml:space="preserve"> Daniela</w:t>
      </w:r>
      <w:r w:rsidR="006D66C1" w:rsidRPr="000B1EDA">
        <w:rPr>
          <w:rFonts w:ascii="Times New Roman" w:eastAsia="Times New Roman" w:hAnsi="Times New Roman" w:cs="Times New Roman"/>
          <w:vertAlign w:val="superscript"/>
        </w:rPr>
        <w:t>1</w:t>
      </w:r>
      <w:r w:rsidR="006D66C1" w:rsidRPr="000B1EDA">
        <w:rPr>
          <w:rFonts w:ascii="Times New Roman" w:eastAsia="Times New Roman" w:hAnsi="Times New Roman" w:cs="Times New Roman"/>
        </w:rPr>
        <w:t xml:space="preserve">, </w:t>
      </w:r>
      <w:r w:rsidRPr="000B1EDA">
        <w:rPr>
          <w:rFonts w:ascii="Times New Roman" w:eastAsia="Times New Roman" w:hAnsi="Times New Roman" w:cs="Times New Roman"/>
        </w:rPr>
        <w:t xml:space="preserve">Spridzane </w:t>
      </w:r>
      <w:r w:rsidR="006D66C1" w:rsidRPr="000B1EDA">
        <w:rPr>
          <w:rFonts w:ascii="Times New Roman" w:eastAsia="Times New Roman" w:hAnsi="Times New Roman" w:cs="Times New Roman"/>
        </w:rPr>
        <w:t>Arta</w:t>
      </w:r>
      <w:r w:rsidR="006D66C1" w:rsidRPr="000B1EDA">
        <w:rPr>
          <w:rFonts w:ascii="Times New Roman" w:eastAsia="Times New Roman" w:hAnsi="Times New Roman" w:cs="Times New Roman"/>
          <w:vertAlign w:val="superscript"/>
        </w:rPr>
        <w:t>1,2</w:t>
      </w:r>
      <w:r w:rsidR="006D66C1" w:rsidRPr="000B1EDA">
        <w:rPr>
          <w:rFonts w:ascii="Times New Roman" w:eastAsia="Times New Roman" w:hAnsi="Times New Roman" w:cs="Times New Roman"/>
        </w:rPr>
        <w:t xml:space="preserve">, </w:t>
      </w:r>
      <w:r w:rsidRPr="000B1EDA">
        <w:rPr>
          <w:rFonts w:ascii="Times New Roman" w:eastAsia="Times New Roman" w:hAnsi="Times New Roman" w:cs="Times New Roman"/>
        </w:rPr>
        <w:t xml:space="preserve">Sokolovska </w:t>
      </w:r>
      <w:r w:rsidR="006D66C1" w:rsidRPr="000B1EDA">
        <w:rPr>
          <w:rFonts w:ascii="Times New Roman" w:eastAsia="Times New Roman" w:hAnsi="Times New Roman" w:cs="Times New Roman"/>
        </w:rPr>
        <w:t>Liba</w:t>
      </w:r>
      <w:r w:rsidR="006D66C1" w:rsidRPr="000B1EDA">
        <w:rPr>
          <w:rFonts w:ascii="Times New Roman" w:eastAsia="Times New Roman" w:hAnsi="Times New Roman" w:cs="Times New Roman"/>
          <w:vertAlign w:val="superscript"/>
        </w:rPr>
        <w:t>1</w:t>
      </w:r>
      <w:r w:rsidR="006D66C1" w:rsidRPr="000B1EDA">
        <w:rPr>
          <w:rFonts w:ascii="Times New Roman" w:eastAsia="Times New Roman" w:hAnsi="Times New Roman" w:cs="Times New Roman"/>
        </w:rPr>
        <w:t xml:space="preserve">, </w:t>
      </w:r>
      <w:r w:rsidRPr="000B1EDA">
        <w:rPr>
          <w:rFonts w:ascii="Times New Roman" w:eastAsia="Times New Roman" w:hAnsi="Times New Roman" w:cs="Times New Roman"/>
        </w:rPr>
        <w:t xml:space="preserve">Uzulina </w:t>
      </w:r>
      <w:r w:rsidR="0084690F" w:rsidRPr="000B1EDA">
        <w:rPr>
          <w:rFonts w:ascii="Times New Roman" w:eastAsia="Times New Roman" w:hAnsi="Times New Roman" w:cs="Times New Roman"/>
        </w:rPr>
        <w:t>I</w:t>
      </w:r>
      <w:r w:rsidR="00CE2B9A" w:rsidRPr="000B1EDA">
        <w:rPr>
          <w:rFonts w:ascii="Times New Roman" w:eastAsia="Times New Roman" w:hAnsi="Times New Roman" w:cs="Times New Roman"/>
        </w:rPr>
        <w:t>lvija</w:t>
      </w:r>
      <w:r w:rsidR="00CE2B9A" w:rsidRPr="000B1EDA">
        <w:rPr>
          <w:rFonts w:ascii="Times New Roman" w:eastAsia="Times New Roman" w:hAnsi="Times New Roman" w:cs="Times New Roman"/>
          <w:vertAlign w:val="superscript"/>
        </w:rPr>
        <w:t>1,2</w:t>
      </w:r>
      <w:r w:rsidR="00CE2B9A" w:rsidRPr="000B1EDA">
        <w:rPr>
          <w:rFonts w:ascii="Times New Roman" w:eastAsia="Times New Roman" w:hAnsi="Times New Roman" w:cs="Times New Roman"/>
        </w:rPr>
        <w:t xml:space="preserve">, </w:t>
      </w:r>
      <w:r w:rsidRPr="000B1EDA">
        <w:rPr>
          <w:rFonts w:ascii="Times New Roman" w:eastAsia="Times New Roman" w:hAnsi="Times New Roman" w:cs="Times New Roman"/>
        </w:rPr>
        <w:t xml:space="preserve">Orlova </w:t>
      </w:r>
      <w:r w:rsidR="00E329F5" w:rsidRPr="000B1EDA">
        <w:rPr>
          <w:rFonts w:ascii="Times New Roman" w:eastAsia="Times New Roman" w:hAnsi="Times New Roman" w:cs="Times New Roman"/>
        </w:rPr>
        <w:t>Beatrise</w:t>
      </w:r>
      <w:r w:rsidR="00277C26" w:rsidRPr="000B1EDA">
        <w:rPr>
          <w:rFonts w:ascii="Times New Roman" w:eastAsia="Times New Roman" w:hAnsi="Times New Roman" w:cs="Times New Roman"/>
          <w:vertAlign w:val="superscript"/>
        </w:rPr>
        <w:t>3</w:t>
      </w:r>
      <w:r w:rsidR="00E329F5" w:rsidRPr="000B1EDA">
        <w:rPr>
          <w:rFonts w:ascii="Times New Roman" w:eastAsia="Times New Roman" w:hAnsi="Times New Roman" w:cs="Times New Roman"/>
        </w:rPr>
        <w:t xml:space="preserve">, </w:t>
      </w:r>
      <w:r w:rsidRPr="000B1EDA">
        <w:rPr>
          <w:rFonts w:ascii="Times New Roman" w:eastAsia="Times New Roman" w:hAnsi="Times New Roman" w:cs="Times New Roman"/>
        </w:rPr>
        <w:t xml:space="preserve">Petrovska </w:t>
      </w:r>
      <w:r w:rsidR="00277C26" w:rsidRPr="000B1EDA">
        <w:rPr>
          <w:rFonts w:ascii="Times New Roman" w:eastAsia="Times New Roman" w:hAnsi="Times New Roman" w:cs="Times New Roman"/>
        </w:rPr>
        <w:t>Marta</w:t>
      </w:r>
      <w:r w:rsidR="00277C26" w:rsidRPr="000B1EDA">
        <w:rPr>
          <w:rFonts w:ascii="Times New Roman" w:eastAsia="Times New Roman" w:hAnsi="Times New Roman" w:cs="Times New Roman"/>
          <w:vertAlign w:val="superscript"/>
        </w:rPr>
        <w:t>3</w:t>
      </w:r>
      <w:r w:rsidR="00277C26" w:rsidRPr="000B1EDA">
        <w:rPr>
          <w:rFonts w:ascii="Times New Roman" w:eastAsia="Times New Roman" w:hAnsi="Times New Roman" w:cs="Times New Roman"/>
        </w:rPr>
        <w:t xml:space="preserve">, </w:t>
      </w:r>
      <w:r w:rsidRPr="000B1EDA">
        <w:rPr>
          <w:rFonts w:ascii="Times New Roman" w:eastAsia="Times New Roman" w:hAnsi="Times New Roman" w:cs="Times New Roman"/>
        </w:rPr>
        <w:t xml:space="preserve">Mitildzans </w:t>
      </w:r>
      <w:r w:rsidR="006D66C1" w:rsidRPr="000B1EDA">
        <w:rPr>
          <w:rFonts w:ascii="Times New Roman" w:eastAsia="Times New Roman" w:hAnsi="Times New Roman" w:cs="Times New Roman"/>
        </w:rPr>
        <w:t>Androniks</w:t>
      </w:r>
      <w:r w:rsidR="006D66C1" w:rsidRPr="000B1EDA">
        <w:rPr>
          <w:rFonts w:ascii="Times New Roman" w:eastAsia="Times New Roman" w:hAnsi="Times New Roman" w:cs="Times New Roman"/>
          <w:vertAlign w:val="superscript"/>
        </w:rPr>
        <w:t>1,2</w:t>
      </w:r>
      <w:r w:rsidR="006D66C1" w:rsidRPr="000B1EDA">
        <w:rPr>
          <w:rFonts w:ascii="Times New Roman" w:eastAsia="Times New Roman" w:hAnsi="Times New Roman" w:cs="Times New Roman"/>
        </w:rPr>
        <w:t xml:space="preserve">, </w:t>
      </w:r>
      <w:r w:rsidRPr="000B1EDA">
        <w:rPr>
          <w:rFonts w:ascii="Times New Roman" w:eastAsia="Times New Roman" w:hAnsi="Times New Roman" w:cs="Times New Roman"/>
        </w:rPr>
        <w:t xml:space="preserve">Isaguliants </w:t>
      </w:r>
      <w:r w:rsidR="006D66C1" w:rsidRPr="000B1EDA">
        <w:rPr>
          <w:rFonts w:ascii="Times New Roman" w:eastAsia="Times New Roman" w:hAnsi="Times New Roman" w:cs="Times New Roman"/>
        </w:rPr>
        <w:t>Maria</w:t>
      </w:r>
      <w:r w:rsidR="006D66C1" w:rsidRPr="000B1EDA">
        <w:rPr>
          <w:rFonts w:ascii="Times New Roman" w:eastAsia="Times New Roman" w:hAnsi="Times New Roman" w:cs="Times New Roman"/>
          <w:vertAlign w:val="superscript"/>
        </w:rPr>
        <w:t>1</w:t>
      </w:r>
    </w:p>
    <w:p w14:paraId="0C53E2BF" w14:textId="26E3BEEA" w:rsidR="006D66C1" w:rsidRPr="000B1EDA" w:rsidRDefault="006D66C1" w:rsidP="00314B6D">
      <w:pPr>
        <w:spacing w:after="0"/>
        <w:jc w:val="both"/>
        <w:rPr>
          <w:rFonts w:ascii="Times New Roman" w:eastAsia="Times New Roman" w:hAnsi="Times New Roman" w:cs="Times New Roman"/>
          <w:i/>
          <w:iCs/>
        </w:rPr>
      </w:pPr>
      <w:r w:rsidRPr="000B1EDA">
        <w:rPr>
          <w:rFonts w:ascii="Times New Roman" w:eastAsia="Times New Roman" w:hAnsi="Times New Roman" w:cs="Times New Roman"/>
          <w:i/>
          <w:iCs/>
          <w:vertAlign w:val="superscript"/>
        </w:rPr>
        <w:t xml:space="preserve">1 </w:t>
      </w:r>
      <w:r w:rsidRPr="000B1EDA">
        <w:rPr>
          <w:rFonts w:ascii="Times New Roman" w:eastAsia="Times New Roman" w:hAnsi="Times New Roman" w:cs="Times New Roman"/>
          <w:i/>
          <w:iCs/>
        </w:rPr>
        <w:t>Institute of Microbiology and Virology, Riga Stradins University, Riga, Latvia.</w:t>
      </w:r>
    </w:p>
    <w:p w14:paraId="67CB30D0" w14:textId="17BDD00B" w:rsidR="006D66C1" w:rsidRPr="000B1EDA" w:rsidRDefault="006D66C1" w:rsidP="00314B6D">
      <w:pPr>
        <w:spacing w:after="0"/>
        <w:jc w:val="both"/>
        <w:rPr>
          <w:rFonts w:ascii="Times New Roman" w:eastAsia="Times New Roman" w:hAnsi="Times New Roman" w:cs="Times New Roman"/>
          <w:i/>
          <w:iCs/>
        </w:rPr>
      </w:pPr>
      <w:r w:rsidRPr="000B1EDA">
        <w:rPr>
          <w:rFonts w:ascii="Times New Roman" w:eastAsia="Times New Roman" w:hAnsi="Times New Roman" w:cs="Times New Roman"/>
          <w:i/>
          <w:iCs/>
          <w:vertAlign w:val="superscript"/>
        </w:rPr>
        <w:t xml:space="preserve">2 </w:t>
      </w:r>
      <w:r w:rsidRPr="000B1EDA">
        <w:rPr>
          <w:rFonts w:ascii="Times New Roman" w:eastAsia="Times New Roman" w:hAnsi="Times New Roman" w:cs="Times New Roman"/>
          <w:i/>
          <w:iCs/>
        </w:rPr>
        <w:t>Riga East Clinical University Hospital, Riga, Latvia.</w:t>
      </w:r>
    </w:p>
    <w:p w14:paraId="75ED725B" w14:textId="13EA5271" w:rsidR="00277C26" w:rsidRPr="000B1EDA" w:rsidRDefault="004B086F" w:rsidP="00314B6D">
      <w:pPr>
        <w:spacing w:after="0"/>
        <w:jc w:val="both"/>
        <w:rPr>
          <w:rFonts w:ascii="Times New Roman" w:eastAsia="Times New Roman" w:hAnsi="Times New Roman" w:cs="Times New Roman"/>
          <w:i/>
          <w:iCs/>
        </w:rPr>
      </w:pPr>
      <w:r w:rsidRPr="000B1EDA">
        <w:rPr>
          <w:rFonts w:ascii="Times New Roman" w:eastAsia="Times New Roman" w:hAnsi="Times New Roman" w:cs="Times New Roman"/>
          <w:i/>
          <w:iCs/>
          <w:vertAlign w:val="superscript"/>
        </w:rPr>
        <w:t xml:space="preserve">3 </w:t>
      </w:r>
      <w:r w:rsidR="00277C26" w:rsidRPr="000B1EDA">
        <w:rPr>
          <w:rFonts w:ascii="Times New Roman" w:eastAsia="Times New Roman" w:hAnsi="Times New Roman" w:cs="Times New Roman"/>
          <w:i/>
          <w:iCs/>
        </w:rPr>
        <w:t xml:space="preserve">Molecular Department, </w:t>
      </w:r>
      <w:r w:rsidRPr="000B1EDA">
        <w:rPr>
          <w:rFonts w:ascii="Times New Roman" w:eastAsia="Times New Roman" w:hAnsi="Times New Roman" w:cs="Times New Roman"/>
          <w:i/>
          <w:iCs/>
        </w:rPr>
        <w:t>Central Laboratory, Riga, Latvia</w:t>
      </w:r>
    </w:p>
    <w:p w14:paraId="1812DD69" w14:textId="77777777" w:rsidR="006D66C1" w:rsidRPr="000B1EDA" w:rsidRDefault="006D66C1">
      <w:pPr>
        <w:jc w:val="both"/>
        <w:rPr>
          <w:rFonts w:ascii="Times New Roman" w:eastAsia="Times New Roman" w:hAnsi="Times New Roman" w:cs="Times New Roman"/>
        </w:rPr>
      </w:pPr>
    </w:p>
    <w:p w14:paraId="00000002" w14:textId="77777777" w:rsidR="005D11CA" w:rsidRDefault="00D86636">
      <w:pPr>
        <w:jc w:val="both"/>
        <w:rPr>
          <w:rFonts w:ascii="Times New Roman" w:eastAsia="Times New Roman" w:hAnsi="Times New Roman" w:cs="Times New Roman"/>
          <w:b/>
        </w:rPr>
      </w:pPr>
      <w:r w:rsidRPr="000B1EDA">
        <w:rPr>
          <w:rFonts w:ascii="Times New Roman" w:eastAsia="Times New Roman" w:hAnsi="Times New Roman" w:cs="Times New Roman"/>
          <w:b/>
        </w:rPr>
        <w:t>Introduction</w:t>
      </w:r>
    </w:p>
    <w:p w14:paraId="48685B3E" w14:textId="68A3A31E" w:rsidR="000943EA" w:rsidRPr="000943EA" w:rsidRDefault="000943EA">
      <w:pPr>
        <w:jc w:val="both"/>
        <w:rPr>
          <w:rFonts w:ascii="Times New Roman" w:eastAsia="Times New Roman" w:hAnsi="Times New Roman" w:cs="Times New Roman"/>
          <w:bCs/>
        </w:rPr>
      </w:pPr>
      <w:r w:rsidRPr="000943EA">
        <w:rPr>
          <w:rFonts w:ascii="Times New Roman" w:eastAsia="Times New Roman" w:hAnsi="Times New Roman" w:cs="Times New Roman"/>
          <w:bCs/>
        </w:rPr>
        <w:t>Although over 90% of high-risk human papillomavirus (hrHPV) infections resolve spontaneously, persistent cases can progress to cervical cancer. Understanding sociodemographic and general health factors associated with hrHPV infection is crucial for targeted cancer prevention, yet data on these correlates is limited in Baltic populations. This study aimed to identify factors associated with hrHPV infection in healthy females residing in Latvia.</w:t>
      </w:r>
    </w:p>
    <w:p w14:paraId="00000004" w14:textId="42568226" w:rsidR="005D11CA" w:rsidRPr="000B1EDA" w:rsidRDefault="00D86636">
      <w:pPr>
        <w:jc w:val="both"/>
        <w:rPr>
          <w:rFonts w:ascii="Times New Roman" w:eastAsia="Times New Roman" w:hAnsi="Times New Roman" w:cs="Times New Roman"/>
          <w:b/>
        </w:rPr>
      </w:pPr>
      <w:r w:rsidRPr="000B1EDA">
        <w:rPr>
          <w:rFonts w:ascii="Times New Roman" w:eastAsia="Times New Roman" w:hAnsi="Times New Roman" w:cs="Times New Roman"/>
          <w:b/>
        </w:rPr>
        <w:t>M</w:t>
      </w:r>
      <w:r w:rsidR="000943EA">
        <w:rPr>
          <w:rFonts w:ascii="Times New Roman" w:eastAsia="Times New Roman" w:hAnsi="Times New Roman" w:cs="Times New Roman"/>
          <w:b/>
        </w:rPr>
        <w:t>aterials and m</w:t>
      </w:r>
      <w:r w:rsidRPr="000B1EDA">
        <w:rPr>
          <w:rFonts w:ascii="Times New Roman" w:eastAsia="Times New Roman" w:hAnsi="Times New Roman" w:cs="Times New Roman"/>
          <w:b/>
        </w:rPr>
        <w:t xml:space="preserve">ethods </w:t>
      </w:r>
    </w:p>
    <w:p w14:paraId="1A7FFE81" w14:textId="2E75196C" w:rsidR="000943EA" w:rsidRPr="000B1EDA" w:rsidRDefault="000943EA">
      <w:pPr>
        <w:jc w:val="both"/>
        <w:rPr>
          <w:rFonts w:ascii="Times New Roman" w:eastAsia="Times New Roman" w:hAnsi="Times New Roman" w:cs="Times New Roman"/>
        </w:rPr>
      </w:pPr>
      <w:r w:rsidRPr="000943EA">
        <w:rPr>
          <w:rFonts w:ascii="Times New Roman" w:eastAsia="Times New Roman" w:hAnsi="Times New Roman" w:cs="Times New Roman"/>
        </w:rPr>
        <w:t>Eighty-three females (mean age 42.2 ± 10.1 years) completed an online questionnaire covering sociodemographic data and general health information, followed by a clinical examination and in-depth anamnesis conducted by a gynecologist. The anamnesis gathered reproductive and sexual health history, STI and contraception use, as well as chronic health and lifestyle factors</w:t>
      </w:r>
      <w:r>
        <w:rPr>
          <w:rFonts w:ascii="Times New Roman" w:eastAsia="Times New Roman" w:hAnsi="Times New Roman" w:cs="Times New Roman"/>
        </w:rPr>
        <w:t xml:space="preserve">. </w:t>
      </w:r>
      <w:r w:rsidRPr="000943EA">
        <w:rPr>
          <w:rFonts w:ascii="Times New Roman" w:eastAsia="Times New Roman" w:hAnsi="Times New Roman" w:cs="Times New Roman"/>
        </w:rPr>
        <w:t>Cervical smears were analyzed for hrHPV DNA using PCR (Anyplex HPV14, Seegene, South Korea); 19 participants (22.9%) tested hrHPV-positive (HPV(+)). Statistical analysis was performed using Chi-square and Fisher’s exact tests to identify associations with hrHPV status.</w:t>
      </w:r>
    </w:p>
    <w:p w14:paraId="3AD21BE6" w14:textId="6317B534" w:rsidR="009958B0" w:rsidRPr="009958B0" w:rsidRDefault="00D86636">
      <w:pPr>
        <w:jc w:val="both"/>
        <w:rPr>
          <w:rFonts w:ascii="Times New Roman" w:eastAsia="Times New Roman" w:hAnsi="Times New Roman" w:cs="Times New Roman"/>
          <w:b/>
        </w:rPr>
      </w:pPr>
      <w:r w:rsidRPr="000B1EDA">
        <w:rPr>
          <w:rFonts w:ascii="Times New Roman" w:eastAsia="Times New Roman" w:hAnsi="Times New Roman" w:cs="Times New Roman"/>
          <w:b/>
        </w:rPr>
        <w:t>Results</w:t>
      </w:r>
    </w:p>
    <w:p w14:paraId="757C02A5" w14:textId="5C8359FD" w:rsidR="009958B0" w:rsidRPr="000B1EDA" w:rsidRDefault="009958B0">
      <w:pPr>
        <w:jc w:val="both"/>
        <w:rPr>
          <w:rFonts w:ascii="Times New Roman" w:eastAsia="Times New Roman" w:hAnsi="Times New Roman" w:cs="Times New Roman"/>
        </w:rPr>
      </w:pPr>
      <w:r w:rsidRPr="009958B0">
        <w:rPr>
          <w:rFonts w:ascii="Times New Roman" w:eastAsia="Times New Roman" w:hAnsi="Times New Roman" w:cs="Times New Roman"/>
        </w:rPr>
        <w:t>The majority of participants were married or had stable partners (81.9%, n=68) and children (86.6%, n=71). All had completed secondary education, and 62.7% (n=52) held higher education degrees. Most were employed (91.6%, n=76), though 28.9% reported feeling socially insecure, and only 56.4% were satisfied with their earnings. In contrast to earlier findings, hrHPV positivity was not associated with sociodemographic factors (p&gt;0.05) (Table 1), nor was there a significant difference in hrHPV prevalence between those who did and did not undergo cervical screening (p&gt;0.05). However, hrHPV infection was significantly more prevalent among women who used contraception methods other than condoms or IUDs (p&lt;0.05) and those with limited knowledge of HPV vaccination (p=0.008)</w:t>
      </w:r>
      <w:r>
        <w:rPr>
          <w:rFonts w:ascii="Times New Roman" w:eastAsia="Times New Roman" w:hAnsi="Times New Roman" w:cs="Times New Roman"/>
        </w:rPr>
        <w:t xml:space="preserve">. </w:t>
      </w:r>
      <w:r w:rsidRPr="000B1EDA">
        <w:rPr>
          <w:rFonts w:ascii="Times New Roman" w:eastAsia="Times New Roman" w:hAnsi="Times New Roman" w:cs="Times New Roman"/>
        </w:rPr>
        <w:t>Unexpectedly, hrHPV infection was significantly more prevalent in females who reported no diseases or health-disturbing problems</w:t>
      </w:r>
      <w:r>
        <w:rPr>
          <w:rFonts w:ascii="Times New Roman" w:eastAsia="Times New Roman" w:hAnsi="Times New Roman" w:cs="Times New Roman"/>
        </w:rPr>
        <w:t xml:space="preserve">, compared to hrHPV(-) </w:t>
      </w:r>
      <w:r w:rsidRPr="009958B0">
        <w:rPr>
          <w:rFonts w:ascii="Times New Roman" w:eastAsia="Times New Roman" w:hAnsi="Times New Roman" w:cs="Times New Roman"/>
        </w:rPr>
        <w:t>(p</w:t>
      </w:r>
      <w:r>
        <w:rPr>
          <w:rFonts w:ascii="Times New Roman" w:eastAsia="Times New Roman" w:hAnsi="Times New Roman" w:cs="Times New Roman"/>
        </w:rPr>
        <w:t>=</w:t>
      </w:r>
      <w:r w:rsidRPr="009958B0">
        <w:rPr>
          <w:rFonts w:ascii="Times New Roman" w:eastAsia="Times New Roman" w:hAnsi="Times New Roman" w:cs="Times New Roman"/>
        </w:rPr>
        <w:t>0.0</w:t>
      </w:r>
      <w:r>
        <w:rPr>
          <w:rFonts w:ascii="Times New Roman" w:eastAsia="Times New Roman" w:hAnsi="Times New Roman" w:cs="Times New Roman"/>
        </w:rPr>
        <w:t>08</w:t>
      </w:r>
      <w:r w:rsidRPr="009958B0">
        <w:rPr>
          <w:rFonts w:ascii="Times New Roman" w:eastAsia="Times New Roman" w:hAnsi="Times New Roman" w:cs="Times New Roman"/>
        </w:rPr>
        <w:t>). Additionally, participants who had undergone colposcopy or had cervical health issues (e.g., aceto uptake) showed higher hrHPV positivity, aligning with previous findings on hrHPV risk. No significant association was found between hrHPV status and pain-related symptoms such as backach</w:t>
      </w:r>
      <w:r>
        <w:rPr>
          <w:rFonts w:ascii="Times New Roman" w:eastAsia="Times New Roman" w:hAnsi="Times New Roman" w:cs="Times New Roman"/>
        </w:rPr>
        <w:t>e and menstural abnormalities</w:t>
      </w:r>
      <w:r w:rsidRPr="009958B0">
        <w:rPr>
          <w:rFonts w:ascii="Times New Roman" w:eastAsia="Times New Roman" w:hAnsi="Times New Roman" w:cs="Times New Roman"/>
        </w:rPr>
        <w:t>, although HPV</w:t>
      </w:r>
      <w:r>
        <w:rPr>
          <w:rFonts w:ascii="Times New Roman" w:eastAsia="Times New Roman" w:hAnsi="Times New Roman" w:cs="Times New Roman"/>
        </w:rPr>
        <w:t>(+)</w:t>
      </w:r>
      <w:r w:rsidRPr="009958B0">
        <w:rPr>
          <w:rFonts w:ascii="Times New Roman" w:eastAsia="Times New Roman" w:hAnsi="Times New Roman" w:cs="Times New Roman"/>
        </w:rPr>
        <w:t xml:space="preserve"> women were more likely to have abnormal cervical tissue findings from gynecological exams.</w:t>
      </w:r>
    </w:p>
    <w:p w14:paraId="00000008" w14:textId="77777777" w:rsidR="005D11CA" w:rsidRDefault="00D86636">
      <w:pPr>
        <w:jc w:val="both"/>
        <w:rPr>
          <w:rFonts w:ascii="Times New Roman" w:eastAsia="Times New Roman" w:hAnsi="Times New Roman" w:cs="Times New Roman"/>
          <w:b/>
        </w:rPr>
      </w:pPr>
      <w:r w:rsidRPr="000B1EDA">
        <w:rPr>
          <w:rFonts w:ascii="Times New Roman" w:eastAsia="Times New Roman" w:hAnsi="Times New Roman" w:cs="Times New Roman"/>
          <w:b/>
        </w:rPr>
        <w:t>Conclusions</w:t>
      </w:r>
    </w:p>
    <w:p w14:paraId="0D44B72B" w14:textId="72F65753" w:rsidR="009958B0" w:rsidRPr="009958B0" w:rsidRDefault="009958B0">
      <w:pPr>
        <w:jc w:val="both"/>
        <w:rPr>
          <w:rFonts w:ascii="Times New Roman" w:eastAsia="Times New Roman" w:hAnsi="Times New Roman" w:cs="Times New Roman"/>
          <w:bCs/>
        </w:rPr>
      </w:pPr>
      <w:r w:rsidRPr="009958B0">
        <w:rPr>
          <w:rFonts w:ascii="Times New Roman" w:eastAsia="Times New Roman" w:hAnsi="Times New Roman" w:cs="Times New Roman"/>
          <w:bCs/>
        </w:rPr>
        <w:t xml:space="preserve">hrHPV infection in this cohort was significantly associated with self-reported healthy status, ineffective contraceptive use, history of colposcopy, and unhealthy cervical tissue, as well as a lack of HPV vaccination awareness. These findings highlight the need for preventive education </w:t>
      </w:r>
      <w:r w:rsidRPr="009958B0">
        <w:rPr>
          <w:rFonts w:ascii="Times New Roman" w:eastAsia="Times New Roman" w:hAnsi="Times New Roman" w:cs="Times New Roman"/>
          <w:bCs/>
        </w:rPr>
        <w:lastRenderedPageBreak/>
        <w:t>and regular screenings, irrespective of symptoms, to reduce hrHPV prevalence and ultimately lower cervical cancer risk in the general population.</w:t>
      </w:r>
    </w:p>
    <w:p w14:paraId="3BA398A8" w14:textId="36415218" w:rsidR="000943EA" w:rsidRPr="000943EA" w:rsidRDefault="000943EA">
      <w:pPr>
        <w:jc w:val="both"/>
        <w:rPr>
          <w:rFonts w:ascii="Times New Roman" w:eastAsia="Times New Roman" w:hAnsi="Times New Roman" w:cs="Times New Roman"/>
          <w:b/>
        </w:rPr>
      </w:pPr>
      <w:r>
        <w:rPr>
          <w:rFonts w:ascii="Times New Roman" w:eastAsia="Times New Roman" w:hAnsi="Times New Roman" w:cs="Times New Roman"/>
          <w:b/>
        </w:rPr>
        <w:t>Aknowledgments</w:t>
      </w:r>
    </w:p>
    <w:p w14:paraId="01B1F37D" w14:textId="6F8107E8" w:rsidR="0082481B" w:rsidRDefault="00004F8F" w:rsidP="006028BC">
      <w:pPr>
        <w:jc w:val="both"/>
        <w:rPr>
          <w:rFonts w:ascii="Times New Roman" w:eastAsia="Times New Roman" w:hAnsi="Times New Roman" w:cs="Times New Roman"/>
        </w:rPr>
      </w:pPr>
      <w:r w:rsidRPr="000B1EDA">
        <w:rPr>
          <w:rFonts w:ascii="Times New Roman" w:eastAsia="Times New Roman" w:hAnsi="Times New Roman" w:cs="Times New Roman"/>
        </w:rPr>
        <w:t>Latvian Science Fund project LZP2021/1-0484 is acknowleded for suppor</w:t>
      </w:r>
      <w:r w:rsidR="00C87864" w:rsidRPr="000B1EDA">
        <w:rPr>
          <w:rFonts w:ascii="Times New Roman" w:eastAsia="Times New Roman" w:hAnsi="Times New Roman" w:cs="Times New Roman"/>
        </w:rPr>
        <w:t>t.</w:t>
      </w:r>
    </w:p>
    <w:p w14:paraId="16C97F4D" w14:textId="77777777" w:rsidR="009958B0" w:rsidRPr="009958B0" w:rsidRDefault="009958B0" w:rsidP="006028BC">
      <w:pPr>
        <w:jc w:val="both"/>
        <w:rPr>
          <w:rFonts w:ascii="Times New Roman" w:eastAsia="Times New Roman" w:hAnsi="Times New Roman" w:cs="Times New Roman"/>
        </w:rPr>
      </w:pPr>
    </w:p>
    <w:p w14:paraId="78F49858" w14:textId="6597E560" w:rsidR="00266324" w:rsidRPr="00DF6E31" w:rsidRDefault="00266324" w:rsidP="00266324">
      <w:pPr>
        <w:jc w:val="both"/>
        <w:rPr>
          <w:rFonts w:ascii="Times New Roman" w:hAnsi="Times New Roman" w:cs="Times New Roman"/>
          <w:sz w:val="20"/>
          <w:szCs w:val="20"/>
        </w:rPr>
      </w:pPr>
      <w:r w:rsidRPr="00DF6E31">
        <w:rPr>
          <w:rFonts w:ascii="Times New Roman" w:hAnsi="Times New Roman" w:cs="Times New Roman"/>
          <w:b/>
          <w:sz w:val="20"/>
          <w:szCs w:val="20"/>
        </w:rPr>
        <w:t xml:space="preserve">Table 1. </w:t>
      </w:r>
      <w:r w:rsidRPr="00F60628">
        <w:rPr>
          <w:rFonts w:ascii="Times New Roman" w:hAnsi="Times New Roman" w:cs="Times New Roman"/>
          <w:b/>
          <w:bCs/>
          <w:sz w:val="20"/>
          <w:szCs w:val="20"/>
        </w:rPr>
        <w:t>Association of sociodemographic factors with hrHPV infection</w:t>
      </w:r>
    </w:p>
    <w:tbl>
      <w:tblPr>
        <w:tblStyle w:val="TableNormal1"/>
        <w:tblW w:w="9376" w:type="dxa"/>
        <w:tblInd w:w="-90" w:type="dxa"/>
        <w:tblLayout w:type="fixed"/>
        <w:tblLook w:val="0600" w:firstRow="0" w:lastRow="0" w:firstColumn="0" w:lastColumn="0" w:noHBand="1" w:noVBand="1"/>
      </w:tblPr>
      <w:tblGrid>
        <w:gridCol w:w="4721"/>
        <w:gridCol w:w="1781"/>
        <w:gridCol w:w="1752"/>
        <w:gridCol w:w="1122"/>
      </w:tblGrid>
      <w:tr w:rsidR="00266324" w:rsidRPr="00DF6E31" w14:paraId="03392E88" w14:textId="77777777" w:rsidTr="00EE3297">
        <w:trPr>
          <w:trHeight w:val="239"/>
        </w:trPr>
        <w:tc>
          <w:tcPr>
            <w:tcW w:w="4721" w:type="dxa"/>
            <w:tcBorders>
              <w:bottom w:val="single" w:sz="4" w:space="0" w:color="auto"/>
            </w:tcBorders>
          </w:tcPr>
          <w:p w14:paraId="5A856A7E" w14:textId="77777777" w:rsidR="00266324" w:rsidRPr="00DF6E31" w:rsidRDefault="00266324" w:rsidP="006D6951">
            <w:pPr>
              <w:spacing w:line="240" w:lineRule="auto"/>
              <w:rPr>
                <w:rFonts w:ascii="Times New Roman" w:hAnsi="Times New Roman" w:cs="Times New Roman"/>
                <w:b/>
                <w:sz w:val="20"/>
                <w:szCs w:val="20"/>
              </w:rPr>
            </w:pPr>
          </w:p>
        </w:tc>
        <w:tc>
          <w:tcPr>
            <w:tcW w:w="3533" w:type="dxa"/>
            <w:gridSpan w:val="2"/>
            <w:tcBorders>
              <w:bottom w:val="single" w:sz="4" w:space="0" w:color="auto"/>
            </w:tcBorders>
          </w:tcPr>
          <w:p w14:paraId="4B534DCC" w14:textId="77777777" w:rsidR="00266324" w:rsidRPr="00DF6E31" w:rsidRDefault="00266324" w:rsidP="006D6951">
            <w:pPr>
              <w:spacing w:line="240" w:lineRule="auto"/>
              <w:jc w:val="center"/>
              <w:rPr>
                <w:rFonts w:ascii="Times New Roman" w:hAnsi="Times New Roman" w:cs="Times New Roman"/>
                <w:b/>
                <w:sz w:val="20"/>
                <w:szCs w:val="20"/>
              </w:rPr>
            </w:pPr>
            <w:r>
              <w:rPr>
                <w:rFonts w:ascii="Times New Roman" w:hAnsi="Times New Roman" w:cs="Times New Roman"/>
                <w:b/>
                <w:sz w:val="20"/>
                <w:szCs w:val="20"/>
              </w:rPr>
              <w:t>hrHPV infection</w:t>
            </w:r>
          </w:p>
        </w:tc>
        <w:tc>
          <w:tcPr>
            <w:tcW w:w="1122" w:type="dxa"/>
            <w:tcBorders>
              <w:bottom w:val="single" w:sz="4" w:space="0" w:color="auto"/>
            </w:tcBorders>
          </w:tcPr>
          <w:p w14:paraId="55DC65C6" w14:textId="77777777" w:rsidR="00266324" w:rsidRPr="00DF6E31" w:rsidRDefault="00266324" w:rsidP="006D6951">
            <w:pPr>
              <w:spacing w:line="240" w:lineRule="auto"/>
              <w:rPr>
                <w:rFonts w:ascii="Times New Roman" w:hAnsi="Times New Roman" w:cs="Times New Roman"/>
                <w:b/>
                <w:sz w:val="20"/>
                <w:szCs w:val="20"/>
              </w:rPr>
            </w:pPr>
          </w:p>
        </w:tc>
      </w:tr>
      <w:tr w:rsidR="00266324" w:rsidRPr="00DF6E31" w14:paraId="3EF571FB" w14:textId="77777777" w:rsidTr="00EE3297">
        <w:trPr>
          <w:trHeight w:val="314"/>
        </w:trPr>
        <w:tc>
          <w:tcPr>
            <w:tcW w:w="4721" w:type="dxa"/>
            <w:tcBorders>
              <w:top w:val="single" w:sz="4" w:space="0" w:color="auto"/>
              <w:bottom w:val="single" w:sz="4" w:space="0" w:color="auto"/>
            </w:tcBorders>
          </w:tcPr>
          <w:p w14:paraId="43BAC377" w14:textId="77777777" w:rsidR="00266324" w:rsidRPr="00DF6E31" w:rsidRDefault="00266324" w:rsidP="006D6951">
            <w:pPr>
              <w:spacing w:line="240" w:lineRule="auto"/>
              <w:rPr>
                <w:rFonts w:ascii="Times New Roman" w:hAnsi="Times New Roman" w:cs="Times New Roman"/>
                <w:b/>
                <w:sz w:val="20"/>
                <w:szCs w:val="20"/>
              </w:rPr>
            </w:pPr>
          </w:p>
        </w:tc>
        <w:tc>
          <w:tcPr>
            <w:tcW w:w="1781" w:type="dxa"/>
            <w:tcBorders>
              <w:top w:val="single" w:sz="4" w:space="0" w:color="auto"/>
              <w:bottom w:val="single" w:sz="4" w:space="0" w:color="auto"/>
            </w:tcBorders>
          </w:tcPr>
          <w:p w14:paraId="6EE97E94" w14:textId="77777777" w:rsidR="00266324" w:rsidRPr="00DF6E31" w:rsidRDefault="00266324" w:rsidP="006D6951">
            <w:pPr>
              <w:spacing w:line="240" w:lineRule="auto"/>
              <w:jc w:val="center"/>
              <w:rPr>
                <w:rFonts w:ascii="Times New Roman" w:hAnsi="Times New Roman" w:cs="Times New Roman"/>
                <w:b/>
                <w:sz w:val="20"/>
                <w:szCs w:val="20"/>
              </w:rPr>
            </w:pPr>
            <w:r>
              <w:rPr>
                <w:rFonts w:ascii="Times New Roman" w:hAnsi="Times New Roman" w:cs="Times New Roman"/>
                <w:b/>
                <w:sz w:val="20"/>
                <w:szCs w:val="20"/>
              </w:rPr>
              <w:t>hrHPV positive</w:t>
            </w:r>
          </w:p>
        </w:tc>
        <w:tc>
          <w:tcPr>
            <w:tcW w:w="1752" w:type="dxa"/>
            <w:tcBorders>
              <w:top w:val="single" w:sz="4" w:space="0" w:color="auto"/>
              <w:bottom w:val="single" w:sz="4" w:space="0" w:color="auto"/>
            </w:tcBorders>
          </w:tcPr>
          <w:p w14:paraId="0EA9D626" w14:textId="77777777" w:rsidR="00266324" w:rsidRPr="00DF6E31" w:rsidRDefault="00266324" w:rsidP="006D6951">
            <w:pPr>
              <w:spacing w:line="240" w:lineRule="auto"/>
              <w:jc w:val="center"/>
              <w:rPr>
                <w:rFonts w:ascii="Times New Roman" w:hAnsi="Times New Roman" w:cs="Times New Roman"/>
                <w:b/>
                <w:sz w:val="20"/>
                <w:szCs w:val="20"/>
              </w:rPr>
            </w:pPr>
            <w:r>
              <w:rPr>
                <w:rFonts w:ascii="Times New Roman" w:hAnsi="Times New Roman" w:cs="Times New Roman"/>
                <w:b/>
                <w:sz w:val="20"/>
                <w:szCs w:val="20"/>
              </w:rPr>
              <w:t>hrHPV negative</w:t>
            </w:r>
          </w:p>
        </w:tc>
        <w:tc>
          <w:tcPr>
            <w:tcW w:w="1122" w:type="dxa"/>
            <w:tcBorders>
              <w:top w:val="single" w:sz="4" w:space="0" w:color="auto"/>
              <w:bottom w:val="single" w:sz="4" w:space="0" w:color="auto"/>
            </w:tcBorders>
          </w:tcPr>
          <w:p w14:paraId="24893650" w14:textId="77777777" w:rsidR="00266324" w:rsidRPr="00DF6E31" w:rsidRDefault="00266324" w:rsidP="006D6951">
            <w:pPr>
              <w:spacing w:line="240" w:lineRule="auto"/>
              <w:rPr>
                <w:rFonts w:ascii="Times New Roman" w:hAnsi="Times New Roman" w:cs="Times New Roman"/>
                <w:b/>
                <w:sz w:val="20"/>
                <w:szCs w:val="20"/>
              </w:rPr>
            </w:pPr>
            <w:r w:rsidRPr="00DF6E31">
              <w:rPr>
                <w:rFonts w:ascii="Times New Roman" w:hAnsi="Times New Roman" w:cs="Times New Roman"/>
                <w:b/>
                <w:sz w:val="20"/>
                <w:szCs w:val="20"/>
              </w:rPr>
              <w:t xml:space="preserve">p-value </w:t>
            </w:r>
          </w:p>
        </w:tc>
      </w:tr>
      <w:tr w:rsidR="00266324" w:rsidRPr="00DF6E31" w14:paraId="7CE0A182" w14:textId="77777777" w:rsidTr="00EE3297">
        <w:trPr>
          <w:trHeight w:val="287"/>
        </w:trPr>
        <w:tc>
          <w:tcPr>
            <w:tcW w:w="4721" w:type="dxa"/>
            <w:tcBorders>
              <w:top w:val="single" w:sz="4" w:space="0" w:color="auto"/>
            </w:tcBorders>
          </w:tcPr>
          <w:p w14:paraId="692278A2" w14:textId="77777777" w:rsidR="00266324" w:rsidRPr="003C78ED" w:rsidRDefault="00266324" w:rsidP="00FE5318">
            <w:pPr>
              <w:spacing w:after="0" w:line="240" w:lineRule="auto"/>
              <w:rPr>
                <w:rFonts w:ascii="Times New Roman" w:hAnsi="Times New Roman" w:cs="Times New Roman"/>
                <w:b/>
                <w:bCs/>
                <w:i/>
                <w:sz w:val="20"/>
                <w:szCs w:val="20"/>
              </w:rPr>
            </w:pPr>
            <w:r w:rsidRPr="003C78ED">
              <w:rPr>
                <w:rFonts w:ascii="Times New Roman" w:hAnsi="Times New Roman" w:cs="Times New Roman"/>
                <w:b/>
                <w:bCs/>
                <w:sz w:val="20"/>
                <w:szCs w:val="20"/>
              </w:rPr>
              <w:t xml:space="preserve">Age, years </w:t>
            </w:r>
            <w:r w:rsidRPr="003C78ED">
              <w:rPr>
                <w:rFonts w:ascii="Times New Roman" w:hAnsi="Times New Roman" w:cs="Times New Roman"/>
                <w:sz w:val="20"/>
                <w:szCs w:val="20"/>
              </w:rPr>
              <w:t>(mean ± SD)</w:t>
            </w:r>
          </w:p>
        </w:tc>
        <w:tc>
          <w:tcPr>
            <w:tcW w:w="1781" w:type="dxa"/>
            <w:tcBorders>
              <w:top w:val="single" w:sz="4" w:space="0" w:color="auto"/>
            </w:tcBorders>
          </w:tcPr>
          <w:p w14:paraId="6A7ABF82" w14:textId="77777777" w:rsidR="00266324" w:rsidRPr="00DF6E31" w:rsidRDefault="00266324" w:rsidP="00FE5318">
            <w:pPr>
              <w:spacing w:after="0" w:line="240" w:lineRule="auto"/>
              <w:jc w:val="center"/>
              <w:rPr>
                <w:rFonts w:ascii="Times New Roman" w:hAnsi="Times New Roman" w:cs="Times New Roman"/>
                <w:b/>
                <w:sz w:val="20"/>
                <w:szCs w:val="20"/>
              </w:rPr>
            </w:pPr>
            <w:r>
              <w:rPr>
                <w:rFonts w:ascii="Times New Roman" w:hAnsi="Times New Roman" w:cs="Times New Roman"/>
                <w:sz w:val="20"/>
                <w:szCs w:val="20"/>
              </w:rPr>
              <w:t>39</w:t>
            </w:r>
            <w:r w:rsidRPr="00DF6E31">
              <w:rPr>
                <w:rFonts w:ascii="Times New Roman" w:hAnsi="Times New Roman" w:cs="Times New Roman"/>
                <w:sz w:val="20"/>
                <w:szCs w:val="20"/>
              </w:rPr>
              <w:t>.</w:t>
            </w:r>
            <w:r>
              <w:rPr>
                <w:rFonts w:ascii="Times New Roman" w:hAnsi="Times New Roman" w:cs="Times New Roman"/>
                <w:sz w:val="20"/>
                <w:szCs w:val="20"/>
              </w:rPr>
              <w:t>3</w:t>
            </w:r>
            <w:r w:rsidRPr="00DF6E31">
              <w:rPr>
                <w:rFonts w:ascii="Times New Roman" w:hAnsi="Times New Roman" w:cs="Times New Roman"/>
                <w:sz w:val="20"/>
                <w:szCs w:val="20"/>
              </w:rPr>
              <w:t xml:space="preserve"> ± </w:t>
            </w:r>
            <w:r>
              <w:rPr>
                <w:rFonts w:ascii="Times New Roman" w:hAnsi="Times New Roman" w:cs="Times New Roman"/>
                <w:sz w:val="20"/>
                <w:szCs w:val="20"/>
              </w:rPr>
              <w:t>9</w:t>
            </w:r>
            <w:r w:rsidRPr="00DF6E31">
              <w:rPr>
                <w:rFonts w:ascii="Times New Roman" w:hAnsi="Times New Roman" w:cs="Times New Roman"/>
                <w:sz w:val="20"/>
                <w:szCs w:val="20"/>
              </w:rPr>
              <w:t>.</w:t>
            </w:r>
            <w:r>
              <w:rPr>
                <w:rFonts w:ascii="Times New Roman" w:hAnsi="Times New Roman" w:cs="Times New Roman"/>
                <w:sz w:val="20"/>
                <w:szCs w:val="20"/>
              </w:rPr>
              <w:t>9</w:t>
            </w:r>
          </w:p>
        </w:tc>
        <w:tc>
          <w:tcPr>
            <w:tcW w:w="1752" w:type="dxa"/>
            <w:tcBorders>
              <w:top w:val="single" w:sz="4" w:space="0" w:color="auto"/>
            </w:tcBorders>
          </w:tcPr>
          <w:p w14:paraId="0211C435" w14:textId="77777777" w:rsidR="00266324" w:rsidRPr="00DF6E31" w:rsidRDefault="00266324" w:rsidP="00FE5318">
            <w:pPr>
              <w:spacing w:after="0" w:line="240" w:lineRule="auto"/>
              <w:jc w:val="center"/>
              <w:rPr>
                <w:rFonts w:ascii="Times New Roman" w:hAnsi="Times New Roman" w:cs="Times New Roman"/>
                <w:b/>
                <w:sz w:val="20"/>
                <w:szCs w:val="20"/>
              </w:rPr>
            </w:pPr>
            <w:r w:rsidRPr="00DF6E31">
              <w:rPr>
                <w:rFonts w:ascii="Times New Roman" w:hAnsi="Times New Roman" w:cs="Times New Roman"/>
                <w:sz w:val="20"/>
                <w:szCs w:val="20"/>
              </w:rPr>
              <w:t>4</w:t>
            </w:r>
            <w:r>
              <w:rPr>
                <w:rFonts w:ascii="Times New Roman" w:hAnsi="Times New Roman" w:cs="Times New Roman"/>
                <w:sz w:val="20"/>
                <w:szCs w:val="20"/>
              </w:rPr>
              <w:t>3</w:t>
            </w:r>
            <w:r w:rsidRPr="00DF6E31">
              <w:rPr>
                <w:rFonts w:ascii="Times New Roman" w:hAnsi="Times New Roman" w:cs="Times New Roman"/>
                <w:sz w:val="20"/>
                <w:szCs w:val="20"/>
              </w:rPr>
              <w:t>.</w:t>
            </w:r>
            <w:r>
              <w:rPr>
                <w:rFonts w:ascii="Times New Roman" w:hAnsi="Times New Roman" w:cs="Times New Roman"/>
                <w:sz w:val="20"/>
                <w:szCs w:val="20"/>
              </w:rPr>
              <w:t>1</w:t>
            </w:r>
            <w:r w:rsidRPr="00DF6E31">
              <w:rPr>
                <w:rFonts w:ascii="Times New Roman" w:hAnsi="Times New Roman" w:cs="Times New Roman"/>
                <w:sz w:val="20"/>
                <w:szCs w:val="20"/>
              </w:rPr>
              <w:t xml:space="preserve"> ± 1</w:t>
            </w:r>
            <w:r>
              <w:rPr>
                <w:rFonts w:ascii="Times New Roman" w:hAnsi="Times New Roman" w:cs="Times New Roman"/>
                <w:sz w:val="20"/>
                <w:szCs w:val="20"/>
              </w:rPr>
              <w:t>0</w:t>
            </w:r>
            <w:r w:rsidRPr="00DF6E31">
              <w:rPr>
                <w:rFonts w:ascii="Times New Roman" w:hAnsi="Times New Roman" w:cs="Times New Roman"/>
                <w:sz w:val="20"/>
                <w:szCs w:val="20"/>
              </w:rPr>
              <w:t>.</w:t>
            </w:r>
            <w:r>
              <w:rPr>
                <w:rFonts w:ascii="Times New Roman" w:hAnsi="Times New Roman" w:cs="Times New Roman"/>
                <w:sz w:val="20"/>
                <w:szCs w:val="20"/>
              </w:rPr>
              <w:t>1</w:t>
            </w:r>
          </w:p>
        </w:tc>
        <w:tc>
          <w:tcPr>
            <w:tcW w:w="1122" w:type="dxa"/>
            <w:tcBorders>
              <w:top w:val="single" w:sz="4" w:space="0" w:color="auto"/>
            </w:tcBorders>
          </w:tcPr>
          <w:p w14:paraId="7EA0E0E5" w14:textId="77777777" w:rsidR="00266324" w:rsidRPr="00DF6E31" w:rsidRDefault="00266324" w:rsidP="00FE5318">
            <w:pPr>
              <w:spacing w:after="0" w:line="240" w:lineRule="auto"/>
              <w:jc w:val="center"/>
              <w:rPr>
                <w:rFonts w:ascii="Times New Roman" w:hAnsi="Times New Roman" w:cs="Times New Roman"/>
                <w:b/>
                <w:sz w:val="20"/>
                <w:szCs w:val="20"/>
              </w:rPr>
            </w:pPr>
            <w:r w:rsidRPr="00DF6E31">
              <w:rPr>
                <w:rFonts w:ascii="Times New Roman" w:hAnsi="Times New Roman" w:cs="Times New Roman"/>
                <w:sz w:val="20"/>
                <w:szCs w:val="20"/>
              </w:rPr>
              <w:t>0.197</w:t>
            </w:r>
          </w:p>
        </w:tc>
      </w:tr>
      <w:tr w:rsidR="001A0417" w:rsidRPr="00DF6E31" w14:paraId="34CB89D4" w14:textId="77777777" w:rsidTr="00EE3297">
        <w:trPr>
          <w:trHeight w:val="287"/>
        </w:trPr>
        <w:tc>
          <w:tcPr>
            <w:tcW w:w="9376" w:type="dxa"/>
            <w:gridSpan w:val="4"/>
          </w:tcPr>
          <w:p w14:paraId="37DD0312" w14:textId="239D3AFB" w:rsidR="001A0417" w:rsidRPr="00DF6E31" w:rsidRDefault="001A0417" w:rsidP="00FE5318">
            <w:pPr>
              <w:spacing w:after="0" w:line="240" w:lineRule="auto"/>
              <w:rPr>
                <w:rFonts w:ascii="Times New Roman" w:hAnsi="Times New Roman" w:cs="Times New Roman"/>
                <w:sz w:val="20"/>
                <w:szCs w:val="20"/>
              </w:rPr>
            </w:pPr>
            <w:r w:rsidRPr="003C78ED">
              <w:rPr>
                <w:rFonts w:ascii="Times New Roman" w:hAnsi="Times New Roman" w:cs="Times New Roman"/>
                <w:b/>
                <w:bCs/>
                <w:sz w:val="20"/>
                <w:szCs w:val="20"/>
              </w:rPr>
              <w:t>Nationality</w:t>
            </w:r>
          </w:p>
        </w:tc>
      </w:tr>
      <w:tr w:rsidR="001A0417" w:rsidRPr="00DF6E31" w14:paraId="43AE2C96" w14:textId="77777777" w:rsidTr="00EE3297">
        <w:trPr>
          <w:trHeight w:val="287"/>
        </w:trPr>
        <w:tc>
          <w:tcPr>
            <w:tcW w:w="4721" w:type="dxa"/>
          </w:tcPr>
          <w:p w14:paraId="46175F5A" w14:textId="101260CE" w:rsidR="001A0417" w:rsidRDefault="001A0417" w:rsidP="00FE5318">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          Latvian</w:t>
            </w:r>
          </w:p>
        </w:tc>
        <w:tc>
          <w:tcPr>
            <w:tcW w:w="1781" w:type="dxa"/>
          </w:tcPr>
          <w:p w14:paraId="09B1D711" w14:textId="77777777" w:rsidR="001A0417"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n=12 (66.7%)</w:t>
            </w:r>
          </w:p>
        </w:tc>
        <w:tc>
          <w:tcPr>
            <w:tcW w:w="1752" w:type="dxa"/>
          </w:tcPr>
          <w:p w14:paraId="069452B7"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n=44 (68.8 %)</w:t>
            </w:r>
          </w:p>
        </w:tc>
        <w:tc>
          <w:tcPr>
            <w:tcW w:w="1122" w:type="dxa"/>
            <w:vMerge w:val="restart"/>
          </w:tcPr>
          <w:p w14:paraId="0335D80D" w14:textId="4672CA2E"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0.667</w:t>
            </w:r>
          </w:p>
        </w:tc>
      </w:tr>
      <w:tr w:rsidR="001A0417" w:rsidRPr="00DF6E31" w14:paraId="61FB25E2" w14:textId="77777777" w:rsidTr="00EE3297">
        <w:trPr>
          <w:trHeight w:val="287"/>
        </w:trPr>
        <w:tc>
          <w:tcPr>
            <w:tcW w:w="4721" w:type="dxa"/>
          </w:tcPr>
          <w:p w14:paraId="74E349D2" w14:textId="5CDC89BD" w:rsidR="001A0417" w:rsidRDefault="001A0417" w:rsidP="00FE5318">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          Russian</w:t>
            </w:r>
          </w:p>
        </w:tc>
        <w:tc>
          <w:tcPr>
            <w:tcW w:w="1781" w:type="dxa"/>
          </w:tcPr>
          <w:p w14:paraId="4E93FE9D" w14:textId="77777777" w:rsidR="001A0417"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n=4 (22.2 %)</w:t>
            </w:r>
          </w:p>
        </w:tc>
        <w:tc>
          <w:tcPr>
            <w:tcW w:w="1752" w:type="dxa"/>
          </w:tcPr>
          <w:p w14:paraId="1E9BBAA8"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n=11 (17.2 %)</w:t>
            </w:r>
          </w:p>
        </w:tc>
        <w:tc>
          <w:tcPr>
            <w:tcW w:w="1122" w:type="dxa"/>
            <w:vMerge/>
          </w:tcPr>
          <w:p w14:paraId="57548EE7" w14:textId="77777777" w:rsidR="001A0417" w:rsidRPr="00DF6E31" w:rsidRDefault="001A0417" w:rsidP="00FE5318">
            <w:pPr>
              <w:spacing w:after="0" w:line="240" w:lineRule="auto"/>
              <w:jc w:val="center"/>
              <w:rPr>
                <w:rFonts w:ascii="Times New Roman" w:hAnsi="Times New Roman" w:cs="Times New Roman"/>
                <w:sz w:val="20"/>
                <w:szCs w:val="20"/>
              </w:rPr>
            </w:pPr>
          </w:p>
        </w:tc>
      </w:tr>
      <w:tr w:rsidR="001A0417" w:rsidRPr="00DF6E31" w14:paraId="1CAC58B6" w14:textId="77777777" w:rsidTr="00EE3297">
        <w:trPr>
          <w:trHeight w:val="287"/>
        </w:trPr>
        <w:tc>
          <w:tcPr>
            <w:tcW w:w="4721" w:type="dxa"/>
          </w:tcPr>
          <w:p w14:paraId="77B6F1C0" w14:textId="4E3F6B96" w:rsidR="001A0417" w:rsidRDefault="001A0417" w:rsidP="00FE5318">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          Lithuanian</w:t>
            </w:r>
          </w:p>
        </w:tc>
        <w:tc>
          <w:tcPr>
            <w:tcW w:w="1781" w:type="dxa"/>
          </w:tcPr>
          <w:p w14:paraId="40655CC5" w14:textId="77777777" w:rsidR="001A0417"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n=0 (0.0%)</w:t>
            </w:r>
          </w:p>
        </w:tc>
        <w:tc>
          <w:tcPr>
            <w:tcW w:w="1752" w:type="dxa"/>
          </w:tcPr>
          <w:p w14:paraId="0BA4BB86"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n=3 (4.7 %)</w:t>
            </w:r>
          </w:p>
        </w:tc>
        <w:tc>
          <w:tcPr>
            <w:tcW w:w="1122" w:type="dxa"/>
            <w:vMerge/>
          </w:tcPr>
          <w:p w14:paraId="49BAC1DF" w14:textId="77777777" w:rsidR="001A0417" w:rsidRPr="00DF6E31" w:rsidRDefault="001A0417" w:rsidP="00FE5318">
            <w:pPr>
              <w:spacing w:after="0" w:line="240" w:lineRule="auto"/>
              <w:jc w:val="center"/>
              <w:rPr>
                <w:rFonts w:ascii="Times New Roman" w:hAnsi="Times New Roman" w:cs="Times New Roman"/>
                <w:sz w:val="20"/>
                <w:szCs w:val="20"/>
              </w:rPr>
            </w:pPr>
          </w:p>
        </w:tc>
      </w:tr>
      <w:tr w:rsidR="001A0417" w:rsidRPr="00DF6E31" w14:paraId="77CE11AB" w14:textId="77777777" w:rsidTr="00EE3297">
        <w:trPr>
          <w:trHeight w:val="287"/>
        </w:trPr>
        <w:tc>
          <w:tcPr>
            <w:tcW w:w="4721" w:type="dxa"/>
          </w:tcPr>
          <w:p w14:paraId="5E4D3C1E" w14:textId="00E8DFCE" w:rsidR="001A0417" w:rsidRDefault="001A0417" w:rsidP="00FE5318">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          Ukranian</w:t>
            </w:r>
          </w:p>
        </w:tc>
        <w:tc>
          <w:tcPr>
            <w:tcW w:w="1781" w:type="dxa"/>
          </w:tcPr>
          <w:p w14:paraId="540844A8" w14:textId="77777777" w:rsidR="001A0417"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n=2 (11.1%)</w:t>
            </w:r>
          </w:p>
        </w:tc>
        <w:tc>
          <w:tcPr>
            <w:tcW w:w="1752" w:type="dxa"/>
          </w:tcPr>
          <w:p w14:paraId="5C3EC13D"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n=3 (4.7 %)</w:t>
            </w:r>
          </w:p>
        </w:tc>
        <w:tc>
          <w:tcPr>
            <w:tcW w:w="1122" w:type="dxa"/>
            <w:vMerge/>
          </w:tcPr>
          <w:p w14:paraId="6E8823B0" w14:textId="77777777" w:rsidR="001A0417" w:rsidRPr="00DF6E31" w:rsidRDefault="001A0417" w:rsidP="00FE5318">
            <w:pPr>
              <w:spacing w:after="0" w:line="240" w:lineRule="auto"/>
              <w:jc w:val="center"/>
              <w:rPr>
                <w:rFonts w:ascii="Times New Roman" w:hAnsi="Times New Roman" w:cs="Times New Roman"/>
                <w:sz w:val="20"/>
                <w:szCs w:val="20"/>
              </w:rPr>
            </w:pPr>
          </w:p>
        </w:tc>
      </w:tr>
      <w:tr w:rsidR="001A0417" w:rsidRPr="00DF6E31" w14:paraId="7413A32F" w14:textId="77777777" w:rsidTr="00EE3297">
        <w:trPr>
          <w:trHeight w:val="287"/>
        </w:trPr>
        <w:tc>
          <w:tcPr>
            <w:tcW w:w="4721" w:type="dxa"/>
          </w:tcPr>
          <w:p w14:paraId="5DC0A427" w14:textId="7BB8D879" w:rsidR="001A0417" w:rsidRDefault="001A0417" w:rsidP="00FE5318">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          Belarusian</w:t>
            </w:r>
          </w:p>
        </w:tc>
        <w:tc>
          <w:tcPr>
            <w:tcW w:w="1781" w:type="dxa"/>
          </w:tcPr>
          <w:p w14:paraId="42664F73" w14:textId="77777777" w:rsidR="001A0417"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n=0 (0.0%)</w:t>
            </w:r>
          </w:p>
        </w:tc>
        <w:tc>
          <w:tcPr>
            <w:tcW w:w="1752" w:type="dxa"/>
          </w:tcPr>
          <w:p w14:paraId="6A02BC1A"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n=3 (4.7 %)</w:t>
            </w:r>
          </w:p>
        </w:tc>
        <w:tc>
          <w:tcPr>
            <w:tcW w:w="1122" w:type="dxa"/>
            <w:vMerge/>
          </w:tcPr>
          <w:p w14:paraId="05F71CAC" w14:textId="77777777" w:rsidR="001A0417" w:rsidRPr="00DF6E31" w:rsidRDefault="001A0417" w:rsidP="00FE5318">
            <w:pPr>
              <w:spacing w:after="0" w:line="240" w:lineRule="auto"/>
              <w:jc w:val="center"/>
              <w:rPr>
                <w:rFonts w:ascii="Times New Roman" w:hAnsi="Times New Roman" w:cs="Times New Roman"/>
                <w:sz w:val="20"/>
                <w:szCs w:val="20"/>
              </w:rPr>
            </w:pPr>
          </w:p>
        </w:tc>
      </w:tr>
      <w:tr w:rsidR="001A0417" w:rsidRPr="00DF6E31" w14:paraId="76052EEC" w14:textId="77777777" w:rsidTr="00EE3297">
        <w:trPr>
          <w:trHeight w:val="287"/>
        </w:trPr>
        <w:tc>
          <w:tcPr>
            <w:tcW w:w="9376" w:type="dxa"/>
            <w:gridSpan w:val="4"/>
          </w:tcPr>
          <w:p w14:paraId="1125E66A" w14:textId="34E7B9A3" w:rsidR="001A0417" w:rsidRPr="00DF6E31" w:rsidRDefault="001A0417" w:rsidP="00FE5318">
            <w:pPr>
              <w:spacing w:after="0" w:line="240" w:lineRule="auto"/>
              <w:rPr>
                <w:rFonts w:ascii="Times New Roman" w:hAnsi="Times New Roman" w:cs="Times New Roman"/>
                <w:sz w:val="20"/>
                <w:szCs w:val="20"/>
              </w:rPr>
            </w:pPr>
            <w:r w:rsidRPr="003C78ED">
              <w:rPr>
                <w:rFonts w:ascii="Times New Roman" w:hAnsi="Times New Roman" w:cs="Times New Roman"/>
                <w:b/>
                <w:bCs/>
                <w:sz w:val="20"/>
                <w:szCs w:val="20"/>
              </w:rPr>
              <w:t>Higher education</w:t>
            </w:r>
          </w:p>
        </w:tc>
      </w:tr>
      <w:tr w:rsidR="001A0417" w:rsidRPr="00DF6E31" w14:paraId="51757C6C" w14:textId="77777777" w:rsidTr="00EE3297">
        <w:trPr>
          <w:trHeight w:val="287"/>
        </w:trPr>
        <w:tc>
          <w:tcPr>
            <w:tcW w:w="4721" w:type="dxa"/>
          </w:tcPr>
          <w:p w14:paraId="029D8D21" w14:textId="4BDEBF19" w:rsidR="001A0417" w:rsidRDefault="001A0417" w:rsidP="00FE5318">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          Yes</w:t>
            </w:r>
          </w:p>
        </w:tc>
        <w:tc>
          <w:tcPr>
            <w:tcW w:w="1781" w:type="dxa"/>
          </w:tcPr>
          <w:p w14:paraId="713BE774" w14:textId="77777777" w:rsidR="001A0417"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n=15 (78.9 %)</w:t>
            </w:r>
          </w:p>
        </w:tc>
        <w:tc>
          <w:tcPr>
            <w:tcW w:w="1752" w:type="dxa"/>
          </w:tcPr>
          <w:p w14:paraId="222B3D63" w14:textId="77777777" w:rsidR="001A0417"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n=37 (57.8 %)</w:t>
            </w:r>
          </w:p>
        </w:tc>
        <w:tc>
          <w:tcPr>
            <w:tcW w:w="1122" w:type="dxa"/>
            <w:vMerge w:val="restart"/>
          </w:tcPr>
          <w:p w14:paraId="6FDECD43" w14:textId="32BE4204"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0.094</w:t>
            </w:r>
          </w:p>
        </w:tc>
      </w:tr>
      <w:tr w:rsidR="001A0417" w:rsidRPr="00DF6E31" w14:paraId="6B6D6B34" w14:textId="77777777" w:rsidTr="00EE3297">
        <w:trPr>
          <w:trHeight w:val="287"/>
        </w:trPr>
        <w:tc>
          <w:tcPr>
            <w:tcW w:w="4721" w:type="dxa"/>
          </w:tcPr>
          <w:p w14:paraId="727CA20D" w14:textId="5C826279" w:rsidR="001A0417" w:rsidRDefault="001A0417" w:rsidP="00FE5318">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          No</w:t>
            </w:r>
          </w:p>
        </w:tc>
        <w:tc>
          <w:tcPr>
            <w:tcW w:w="1781" w:type="dxa"/>
          </w:tcPr>
          <w:p w14:paraId="3261B433" w14:textId="77777777" w:rsidR="001A0417"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n=4 (21.1 %)</w:t>
            </w:r>
          </w:p>
        </w:tc>
        <w:tc>
          <w:tcPr>
            <w:tcW w:w="1752" w:type="dxa"/>
          </w:tcPr>
          <w:p w14:paraId="694ADC85" w14:textId="77777777" w:rsidR="001A0417"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n=27 (42.2 %)</w:t>
            </w:r>
          </w:p>
        </w:tc>
        <w:tc>
          <w:tcPr>
            <w:tcW w:w="1122" w:type="dxa"/>
            <w:vMerge/>
          </w:tcPr>
          <w:p w14:paraId="77FACBE8" w14:textId="77777777" w:rsidR="001A0417" w:rsidRPr="00DF6E31" w:rsidRDefault="001A0417" w:rsidP="00FE5318">
            <w:pPr>
              <w:spacing w:after="0" w:line="240" w:lineRule="auto"/>
              <w:jc w:val="center"/>
              <w:rPr>
                <w:rFonts w:ascii="Times New Roman" w:hAnsi="Times New Roman" w:cs="Times New Roman"/>
                <w:sz w:val="20"/>
                <w:szCs w:val="20"/>
              </w:rPr>
            </w:pPr>
          </w:p>
        </w:tc>
      </w:tr>
      <w:tr w:rsidR="001A0417" w:rsidRPr="00DF6E31" w14:paraId="0CA5533C" w14:textId="77777777" w:rsidTr="00EE3297">
        <w:trPr>
          <w:trHeight w:val="314"/>
        </w:trPr>
        <w:tc>
          <w:tcPr>
            <w:tcW w:w="9376" w:type="dxa"/>
            <w:gridSpan w:val="4"/>
          </w:tcPr>
          <w:p w14:paraId="7A077F23" w14:textId="184D0B47" w:rsidR="001A0417" w:rsidRPr="00DF6E31" w:rsidRDefault="001A0417" w:rsidP="00FE5318">
            <w:pPr>
              <w:spacing w:after="0" w:line="240" w:lineRule="auto"/>
              <w:rPr>
                <w:rFonts w:ascii="Times New Roman" w:hAnsi="Times New Roman" w:cs="Times New Roman"/>
                <w:sz w:val="20"/>
                <w:szCs w:val="20"/>
              </w:rPr>
            </w:pPr>
            <w:r w:rsidRPr="003C78ED">
              <w:rPr>
                <w:rFonts w:ascii="Times New Roman" w:hAnsi="Times New Roman" w:cs="Times New Roman"/>
                <w:b/>
                <w:bCs/>
                <w:sz w:val="20"/>
                <w:szCs w:val="20"/>
              </w:rPr>
              <w:t>Employment</w:t>
            </w:r>
            <w:r w:rsidRPr="00DF6E31">
              <w:rPr>
                <w:rFonts w:ascii="Times New Roman" w:hAnsi="Times New Roman" w:cs="Times New Roman"/>
                <w:sz w:val="20"/>
                <w:szCs w:val="20"/>
              </w:rPr>
              <w:t xml:space="preserve">   </w:t>
            </w:r>
            <w:r w:rsidRPr="00DF6E31">
              <w:rPr>
                <w:rFonts w:ascii="Times New Roman" w:hAnsi="Times New Roman" w:cs="Times New Roman"/>
                <w:sz w:val="20"/>
                <w:szCs w:val="20"/>
              </w:rPr>
              <w:tab/>
            </w:r>
          </w:p>
        </w:tc>
      </w:tr>
      <w:tr w:rsidR="003C78ED" w:rsidRPr="00DF6E31" w14:paraId="1F9CE275" w14:textId="77777777" w:rsidTr="00EE3297">
        <w:trPr>
          <w:trHeight w:val="314"/>
        </w:trPr>
        <w:tc>
          <w:tcPr>
            <w:tcW w:w="4721" w:type="dxa"/>
          </w:tcPr>
          <w:p w14:paraId="6ADD6939" w14:textId="76BD7C9F" w:rsidR="003C78ED" w:rsidRPr="003C78ED" w:rsidRDefault="00A45588" w:rsidP="00FE5318">
            <w:pPr>
              <w:spacing w:after="0" w:line="240" w:lineRule="auto"/>
              <w:rPr>
                <w:rFonts w:ascii="Times New Roman" w:hAnsi="Times New Roman" w:cs="Times New Roman"/>
                <w:b/>
                <w:bCs/>
                <w:sz w:val="20"/>
                <w:szCs w:val="20"/>
              </w:rPr>
            </w:pPr>
            <w:r>
              <w:rPr>
                <w:rFonts w:ascii="Times New Roman" w:hAnsi="Times New Roman" w:cs="Times New Roman"/>
                <w:sz w:val="20"/>
                <w:szCs w:val="20"/>
              </w:rPr>
              <w:t xml:space="preserve">          </w:t>
            </w:r>
            <w:r w:rsidR="003C78ED">
              <w:rPr>
                <w:rFonts w:ascii="Times New Roman" w:hAnsi="Times New Roman" w:cs="Times New Roman"/>
                <w:sz w:val="20"/>
                <w:szCs w:val="20"/>
              </w:rPr>
              <w:t>Employed</w:t>
            </w:r>
          </w:p>
        </w:tc>
        <w:tc>
          <w:tcPr>
            <w:tcW w:w="1781" w:type="dxa"/>
          </w:tcPr>
          <w:p w14:paraId="4B1AA857" w14:textId="58B4AD58" w:rsidR="003C78ED" w:rsidRPr="00DF6E31" w:rsidRDefault="003C78ED" w:rsidP="00FE5318">
            <w:pPr>
              <w:spacing w:after="0" w:line="240" w:lineRule="auto"/>
              <w:jc w:val="center"/>
              <w:rPr>
                <w:rFonts w:ascii="Times New Roman" w:hAnsi="Times New Roman" w:cs="Times New Roman"/>
                <w:sz w:val="20"/>
                <w:szCs w:val="20"/>
              </w:rPr>
            </w:pPr>
            <w:r w:rsidRPr="00DF6E31">
              <w:rPr>
                <w:rFonts w:ascii="Times New Roman" w:hAnsi="Times New Roman" w:cs="Times New Roman"/>
                <w:sz w:val="20"/>
                <w:szCs w:val="20"/>
              </w:rPr>
              <w:t>n=</w:t>
            </w:r>
            <w:r>
              <w:rPr>
                <w:rFonts w:ascii="Times New Roman" w:hAnsi="Times New Roman" w:cs="Times New Roman"/>
                <w:sz w:val="20"/>
                <w:szCs w:val="20"/>
              </w:rPr>
              <w:t>18 (94.7 %)</w:t>
            </w:r>
          </w:p>
        </w:tc>
        <w:tc>
          <w:tcPr>
            <w:tcW w:w="1752" w:type="dxa"/>
          </w:tcPr>
          <w:p w14:paraId="58B8FC87" w14:textId="266ADB9E" w:rsidR="003C78ED" w:rsidRPr="00DF6E31" w:rsidRDefault="003C78ED" w:rsidP="00FE5318">
            <w:pPr>
              <w:spacing w:after="0" w:line="240" w:lineRule="auto"/>
              <w:rPr>
                <w:rFonts w:ascii="Times New Roman" w:hAnsi="Times New Roman" w:cs="Times New Roman"/>
                <w:sz w:val="20"/>
                <w:szCs w:val="20"/>
              </w:rPr>
            </w:pPr>
            <w:r w:rsidRPr="00DF6E31">
              <w:rPr>
                <w:rFonts w:ascii="Times New Roman" w:hAnsi="Times New Roman" w:cs="Times New Roman"/>
                <w:sz w:val="20"/>
                <w:szCs w:val="20"/>
              </w:rPr>
              <w:t>n=</w:t>
            </w:r>
            <w:r>
              <w:rPr>
                <w:rFonts w:ascii="Times New Roman" w:hAnsi="Times New Roman" w:cs="Times New Roman"/>
                <w:sz w:val="20"/>
                <w:szCs w:val="20"/>
              </w:rPr>
              <w:t>58 (90.6 %)</w:t>
            </w:r>
          </w:p>
        </w:tc>
        <w:tc>
          <w:tcPr>
            <w:tcW w:w="1122" w:type="dxa"/>
            <w:vMerge w:val="restart"/>
          </w:tcPr>
          <w:p w14:paraId="4BBCA899" w14:textId="1938D3E5" w:rsidR="003C78ED" w:rsidRDefault="003C78ED"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1.00</w:t>
            </w:r>
          </w:p>
        </w:tc>
      </w:tr>
      <w:tr w:rsidR="003C78ED" w:rsidRPr="00DF6E31" w14:paraId="4C81408C" w14:textId="77777777" w:rsidTr="00EE3297">
        <w:trPr>
          <w:trHeight w:val="314"/>
        </w:trPr>
        <w:tc>
          <w:tcPr>
            <w:tcW w:w="4721" w:type="dxa"/>
          </w:tcPr>
          <w:p w14:paraId="515D17BC" w14:textId="027DAA69" w:rsidR="003C78ED" w:rsidRPr="00DF6E31" w:rsidRDefault="00A45588" w:rsidP="00FE5318">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          </w:t>
            </w:r>
            <w:r w:rsidR="003C78ED">
              <w:rPr>
                <w:rFonts w:ascii="Times New Roman" w:hAnsi="Times New Roman" w:cs="Times New Roman"/>
                <w:sz w:val="20"/>
                <w:szCs w:val="20"/>
              </w:rPr>
              <w:t>Unemployed</w:t>
            </w:r>
          </w:p>
        </w:tc>
        <w:tc>
          <w:tcPr>
            <w:tcW w:w="1781" w:type="dxa"/>
          </w:tcPr>
          <w:p w14:paraId="7B6457FE" w14:textId="5ECFA646" w:rsidR="003C78ED" w:rsidRPr="00DF6E31" w:rsidRDefault="003C78ED" w:rsidP="00FE5318">
            <w:pPr>
              <w:spacing w:after="0" w:line="240" w:lineRule="auto"/>
              <w:jc w:val="center"/>
              <w:rPr>
                <w:rFonts w:ascii="Times New Roman" w:hAnsi="Times New Roman" w:cs="Times New Roman"/>
                <w:sz w:val="20"/>
                <w:szCs w:val="20"/>
              </w:rPr>
            </w:pPr>
            <w:r w:rsidRPr="00DF6E31">
              <w:rPr>
                <w:rFonts w:ascii="Times New Roman" w:hAnsi="Times New Roman" w:cs="Times New Roman"/>
                <w:sz w:val="20"/>
                <w:szCs w:val="20"/>
              </w:rPr>
              <w:t>n=</w:t>
            </w:r>
            <w:r>
              <w:rPr>
                <w:rFonts w:ascii="Times New Roman" w:hAnsi="Times New Roman" w:cs="Times New Roman"/>
                <w:sz w:val="20"/>
                <w:szCs w:val="20"/>
              </w:rPr>
              <w:t>1 (5.3 %)</w:t>
            </w:r>
          </w:p>
        </w:tc>
        <w:tc>
          <w:tcPr>
            <w:tcW w:w="1752" w:type="dxa"/>
          </w:tcPr>
          <w:p w14:paraId="53909D2A" w14:textId="63B60397" w:rsidR="003C78ED" w:rsidRPr="00DF6E31" w:rsidRDefault="003C78ED" w:rsidP="00FE5318">
            <w:pPr>
              <w:spacing w:after="0" w:line="240" w:lineRule="auto"/>
              <w:jc w:val="center"/>
              <w:rPr>
                <w:rFonts w:ascii="Times New Roman" w:hAnsi="Times New Roman" w:cs="Times New Roman"/>
                <w:sz w:val="20"/>
                <w:szCs w:val="20"/>
              </w:rPr>
            </w:pPr>
            <w:r w:rsidRPr="00DF6E31">
              <w:rPr>
                <w:rFonts w:ascii="Times New Roman" w:hAnsi="Times New Roman" w:cs="Times New Roman"/>
                <w:sz w:val="20"/>
                <w:szCs w:val="20"/>
              </w:rPr>
              <w:t>n=</w:t>
            </w:r>
            <w:r>
              <w:rPr>
                <w:rFonts w:ascii="Times New Roman" w:hAnsi="Times New Roman" w:cs="Times New Roman"/>
                <w:sz w:val="20"/>
                <w:szCs w:val="20"/>
              </w:rPr>
              <w:t>6 (9.4 %)</w:t>
            </w:r>
          </w:p>
        </w:tc>
        <w:tc>
          <w:tcPr>
            <w:tcW w:w="1122" w:type="dxa"/>
            <w:vMerge/>
          </w:tcPr>
          <w:p w14:paraId="6DEA31B1" w14:textId="77777777" w:rsidR="003C78ED" w:rsidRDefault="003C78ED" w:rsidP="00FE5318">
            <w:pPr>
              <w:spacing w:after="0" w:line="240" w:lineRule="auto"/>
              <w:jc w:val="center"/>
              <w:rPr>
                <w:rFonts w:ascii="Times New Roman" w:hAnsi="Times New Roman" w:cs="Times New Roman"/>
                <w:sz w:val="20"/>
                <w:szCs w:val="20"/>
              </w:rPr>
            </w:pPr>
          </w:p>
        </w:tc>
      </w:tr>
      <w:tr w:rsidR="001A0417" w:rsidRPr="00DF6E31" w14:paraId="7722ACD3" w14:textId="77777777" w:rsidTr="00EE3297">
        <w:trPr>
          <w:trHeight w:val="314"/>
        </w:trPr>
        <w:tc>
          <w:tcPr>
            <w:tcW w:w="9376" w:type="dxa"/>
            <w:gridSpan w:val="4"/>
          </w:tcPr>
          <w:p w14:paraId="576FCD45" w14:textId="26932A99" w:rsidR="001A0417" w:rsidRPr="00DF6E31" w:rsidRDefault="001A0417" w:rsidP="00FE5318">
            <w:pPr>
              <w:spacing w:after="0" w:line="240" w:lineRule="auto"/>
              <w:rPr>
                <w:rFonts w:ascii="Times New Roman" w:hAnsi="Times New Roman" w:cs="Times New Roman"/>
                <w:sz w:val="20"/>
                <w:szCs w:val="20"/>
              </w:rPr>
            </w:pPr>
            <w:r w:rsidRPr="003C78ED">
              <w:rPr>
                <w:rFonts w:ascii="Times New Roman" w:hAnsi="Times New Roman" w:cs="Times New Roman"/>
                <w:b/>
                <w:bCs/>
                <w:sz w:val="20"/>
                <w:szCs w:val="20"/>
              </w:rPr>
              <w:t>Satisfaction with earnings</w:t>
            </w:r>
          </w:p>
        </w:tc>
      </w:tr>
      <w:tr w:rsidR="001A0417" w:rsidRPr="00DF6E31" w14:paraId="26005059" w14:textId="77777777" w:rsidTr="00EE3297">
        <w:trPr>
          <w:trHeight w:val="314"/>
        </w:trPr>
        <w:tc>
          <w:tcPr>
            <w:tcW w:w="4721" w:type="dxa"/>
          </w:tcPr>
          <w:p w14:paraId="2972E4E9" w14:textId="09E57044" w:rsidR="001A0417" w:rsidRDefault="001A0417" w:rsidP="00FE5318">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          Satisfied</w:t>
            </w:r>
          </w:p>
        </w:tc>
        <w:tc>
          <w:tcPr>
            <w:tcW w:w="1781" w:type="dxa"/>
          </w:tcPr>
          <w:p w14:paraId="37C49663"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n=12 (66.7 %)</w:t>
            </w:r>
          </w:p>
        </w:tc>
        <w:tc>
          <w:tcPr>
            <w:tcW w:w="1752" w:type="dxa"/>
          </w:tcPr>
          <w:p w14:paraId="0BCA2258"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n=32 (53.3 %)</w:t>
            </w:r>
          </w:p>
        </w:tc>
        <w:tc>
          <w:tcPr>
            <w:tcW w:w="1122" w:type="dxa"/>
            <w:vMerge w:val="restart"/>
          </w:tcPr>
          <w:p w14:paraId="64943D4B" w14:textId="0BF87799"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0.317</w:t>
            </w:r>
          </w:p>
        </w:tc>
      </w:tr>
      <w:tr w:rsidR="001A0417" w:rsidRPr="00DF6E31" w14:paraId="26D72FEA" w14:textId="77777777" w:rsidTr="00EE3297">
        <w:trPr>
          <w:trHeight w:val="314"/>
        </w:trPr>
        <w:tc>
          <w:tcPr>
            <w:tcW w:w="4721" w:type="dxa"/>
          </w:tcPr>
          <w:p w14:paraId="6C11A82D" w14:textId="54AD1B5F" w:rsidR="001A0417" w:rsidRDefault="001A0417" w:rsidP="00FE5318">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           Not satisfied</w:t>
            </w:r>
          </w:p>
        </w:tc>
        <w:tc>
          <w:tcPr>
            <w:tcW w:w="1781" w:type="dxa"/>
          </w:tcPr>
          <w:p w14:paraId="7C6DC978"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n=6 (33.3 %)</w:t>
            </w:r>
          </w:p>
        </w:tc>
        <w:tc>
          <w:tcPr>
            <w:tcW w:w="1752" w:type="dxa"/>
          </w:tcPr>
          <w:p w14:paraId="1AD6FC01"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n=28 (46.7)</w:t>
            </w:r>
          </w:p>
        </w:tc>
        <w:tc>
          <w:tcPr>
            <w:tcW w:w="1122" w:type="dxa"/>
            <w:vMerge/>
          </w:tcPr>
          <w:p w14:paraId="448E6C22" w14:textId="77777777" w:rsidR="001A0417" w:rsidRPr="00DF6E31" w:rsidRDefault="001A0417" w:rsidP="00FE5318">
            <w:pPr>
              <w:spacing w:after="0" w:line="240" w:lineRule="auto"/>
              <w:jc w:val="center"/>
              <w:rPr>
                <w:rFonts w:ascii="Times New Roman" w:hAnsi="Times New Roman" w:cs="Times New Roman"/>
                <w:sz w:val="20"/>
                <w:szCs w:val="20"/>
              </w:rPr>
            </w:pPr>
          </w:p>
        </w:tc>
      </w:tr>
      <w:tr w:rsidR="001A0417" w:rsidRPr="00DF6E31" w14:paraId="66B09EA8" w14:textId="77777777" w:rsidTr="00EE3297">
        <w:trPr>
          <w:trHeight w:val="314"/>
        </w:trPr>
        <w:tc>
          <w:tcPr>
            <w:tcW w:w="9376" w:type="dxa"/>
            <w:gridSpan w:val="4"/>
          </w:tcPr>
          <w:p w14:paraId="2FFBB738" w14:textId="58C5E4EE" w:rsidR="001A0417" w:rsidRPr="00DF6E31" w:rsidRDefault="001A0417" w:rsidP="00FE5318">
            <w:pPr>
              <w:spacing w:after="0" w:line="240" w:lineRule="auto"/>
              <w:rPr>
                <w:rFonts w:ascii="Times New Roman" w:hAnsi="Times New Roman" w:cs="Times New Roman"/>
                <w:sz w:val="20"/>
                <w:szCs w:val="20"/>
              </w:rPr>
            </w:pPr>
            <w:r w:rsidRPr="003C78ED">
              <w:rPr>
                <w:rFonts w:ascii="Times New Roman" w:hAnsi="Times New Roman" w:cs="Times New Roman"/>
                <w:b/>
                <w:bCs/>
                <w:sz w:val="20"/>
                <w:szCs w:val="20"/>
              </w:rPr>
              <w:t xml:space="preserve">Social protection </w:t>
            </w:r>
          </w:p>
        </w:tc>
      </w:tr>
      <w:tr w:rsidR="001A0417" w:rsidRPr="00DF6E31" w14:paraId="2267C07C" w14:textId="77777777" w:rsidTr="00EE3297">
        <w:trPr>
          <w:trHeight w:val="314"/>
        </w:trPr>
        <w:tc>
          <w:tcPr>
            <w:tcW w:w="4721" w:type="dxa"/>
          </w:tcPr>
          <w:p w14:paraId="2E83A9BD" w14:textId="1ABBD98F" w:rsidR="001A0417" w:rsidRDefault="001A0417" w:rsidP="00FE5318">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          Feel socially protected</w:t>
            </w:r>
          </w:p>
        </w:tc>
        <w:tc>
          <w:tcPr>
            <w:tcW w:w="1781" w:type="dxa"/>
          </w:tcPr>
          <w:p w14:paraId="0C139673"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n=15 (78.9 %)</w:t>
            </w:r>
          </w:p>
        </w:tc>
        <w:tc>
          <w:tcPr>
            <w:tcW w:w="1752" w:type="dxa"/>
          </w:tcPr>
          <w:p w14:paraId="667F64A2"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n=44 (68.8 %)</w:t>
            </w:r>
          </w:p>
        </w:tc>
        <w:tc>
          <w:tcPr>
            <w:tcW w:w="1122" w:type="dxa"/>
            <w:vMerge w:val="restart"/>
          </w:tcPr>
          <w:p w14:paraId="40449728" w14:textId="2FA5222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0.389</w:t>
            </w:r>
          </w:p>
        </w:tc>
      </w:tr>
      <w:tr w:rsidR="001A0417" w:rsidRPr="00DF6E31" w14:paraId="6237FA2B" w14:textId="77777777" w:rsidTr="00EE3297">
        <w:trPr>
          <w:trHeight w:val="314"/>
        </w:trPr>
        <w:tc>
          <w:tcPr>
            <w:tcW w:w="4721" w:type="dxa"/>
          </w:tcPr>
          <w:p w14:paraId="12CDC7F2" w14:textId="1D67A000" w:rsidR="001A0417" w:rsidRDefault="001A0417" w:rsidP="00FE5318">
            <w:pPr>
              <w:spacing w:after="0" w:line="240" w:lineRule="auto"/>
              <w:rPr>
                <w:rFonts w:ascii="Times New Roman" w:hAnsi="Times New Roman" w:cs="Times New Roman"/>
                <w:sz w:val="20"/>
                <w:szCs w:val="20"/>
              </w:rPr>
            </w:pPr>
            <w:r>
              <w:rPr>
                <w:rFonts w:ascii="Times New Roman" w:hAnsi="Times New Roman" w:cs="Times New Roman"/>
                <w:sz w:val="20"/>
                <w:szCs w:val="20"/>
              </w:rPr>
              <w:t xml:space="preserve">          Not socially protected</w:t>
            </w:r>
          </w:p>
        </w:tc>
        <w:tc>
          <w:tcPr>
            <w:tcW w:w="1781" w:type="dxa"/>
          </w:tcPr>
          <w:p w14:paraId="7B7C3D71"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n=4 (21.1 %)</w:t>
            </w:r>
          </w:p>
        </w:tc>
        <w:tc>
          <w:tcPr>
            <w:tcW w:w="1752" w:type="dxa"/>
          </w:tcPr>
          <w:p w14:paraId="684E1089"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n=20 (31.2 %)</w:t>
            </w:r>
          </w:p>
        </w:tc>
        <w:tc>
          <w:tcPr>
            <w:tcW w:w="1122" w:type="dxa"/>
            <w:vMerge/>
          </w:tcPr>
          <w:p w14:paraId="15DD349C" w14:textId="77777777" w:rsidR="001A0417" w:rsidRPr="00DF6E31" w:rsidRDefault="001A0417" w:rsidP="00FE5318">
            <w:pPr>
              <w:spacing w:after="0" w:line="240" w:lineRule="auto"/>
              <w:jc w:val="center"/>
              <w:rPr>
                <w:rFonts w:ascii="Times New Roman" w:hAnsi="Times New Roman" w:cs="Times New Roman"/>
                <w:sz w:val="20"/>
                <w:szCs w:val="20"/>
              </w:rPr>
            </w:pPr>
          </w:p>
        </w:tc>
      </w:tr>
      <w:tr w:rsidR="003C78ED" w:rsidRPr="00DF6E31" w14:paraId="5805A6A8" w14:textId="77777777" w:rsidTr="00EE3297">
        <w:trPr>
          <w:trHeight w:val="314"/>
        </w:trPr>
        <w:tc>
          <w:tcPr>
            <w:tcW w:w="4721" w:type="dxa"/>
          </w:tcPr>
          <w:p w14:paraId="188537FD" w14:textId="77777777" w:rsidR="003C78ED" w:rsidRDefault="003C78ED" w:rsidP="00FE5318">
            <w:pPr>
              <w:spacing w:after="0" w:line="240" w:lineRule="auto"/>
              <w:rPr>
                <w:rFonts w:ascii="Times New Roman" w:hAnsi="Times New Roman" w:cs="Times New Roman"/>
                <w:sz w:val="20"/>
                <w:szCs w:val="20"/>
              </w:rPr>
            </w:pPr>
            <w:r w:rsidRPr="003C78ED">
              <w:rPr>
                <w:rFonts w:ascii="Times New Roman" w:hAnsi="Times New Roman" w:cs="Times New Roman"/>
                <w:b/>
                <w:bCs/>
                <w:sz w:val="20"/>
                <w:szCs w:val="20"/>
              </w:rPr>
              <w:t>Number of interrupted pregnancies</w:t>
            </w:r>
            <w:r>
              <w:rPr>
                <w:rFonts w:ascii="Times New Roman" w:hAnsi="Times New Roman" w:cs="Times New Roman"/>
                <w:sz w:val="20"/>
                <w:szCs w:val="20"/>
              </w:rPr>
              <w:t xml:space="preserve"> </w:t>
            </w:r>
            <w:r w:rsidRPr="003A6358">
              <w:rPr>
                <w:rFonts w:ascii="Times New Roman" w:hAnsi="Times New Roman" w:cs="Times New Roman"/>
                <w:sz w:val="20"/>
                <w:szCs w:val="20"/>
              </w:rPr>
              <w:t xml:space="preserve">(median, </w:t>
            </w:r>
            <w:r>
              <w:rPr>
                <w:rFonts w:ascii="Times New Roman" w:hAnsi="Times New Roman" w:cs="Times New Roman"/>
                <w:sz w:val="20"/>
                <w:szCs w:val="20"/>
              </w:rPr>
              <w:t>(</w:t>
            </w:r>
            <w:r w:rsidRPr="003A6358">
              <w:rPr>
                <w:rFonts w:ascii="Times New Roman" w:hAnsi="Times New Roman" w:cs="Times New Roman"/>
                <w:sz w:val="20"/>
                <w:szCs w:val="20"/>
              </w:rPr>
              <w:t>IQR</w:t>
            </w:r>
            <w:r>
              <w:rPr>
                <w:rFonts w:ascii="Times New Roman" w:hAnsi="Times New Roman" w:cs="Times New Roman"/>
                <w:sz w:val="20"/>
                <w:szCs w:val="20"/>
              </w:rPr>
              <w:t>)</w:t>
            </w:r>
            <w:r w:rsidRPr="003A6358">
              <w:rPr>
                <w:rFonts w:ascii="Times New Roman" w:hAnsi="Times New Roman" w:cs="Times New Roman"/>
                <w:sz w:val="20"/>
                <w:szCs w:val="20"/>
              </w:rPr>
              <w:t>)</w:t>
            </w:r>
          </w:p>
        </w:tc>
        <w:tc>
          <w:tcPr>
            <w:tcW w:w="1781" w:type="dxa"/>
          </w:tcPr>
          <w:p w14:paraId="49C19BC2" w14:textId="77777777" w:rsidR="003C78ED" w:rsidRPr="00DF6E31" w:rsidRDefault="003C78ED"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 (0-1)</w:t>
            </w:r>
          </w:p>
        </w:tc>
        <w:tc>
          <w:tcPr>
            <w:tcW w:w="1752" w:type="dxa"/>
          </w:tcPr>
          <w:p w14:paraId="238139D2" w14:textId="77777777" w:rsidR="003C78ED" w:rsidRPr="00DF6E31" w:rsidRDefault="003C78ED"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 (0-1)</w:t>
            </w:r>
          </w:p>
        </w:tc>
        <w:tc>
          <w:tcPr>
            <w:tcW w:w="1122" w:type="dxa"/>
          </w:tcPr>
          <w:p w14:paraId="2F93E6AF" w14:textId="77777777" w:rsidR="003C78ED" w:rsidRPr="00DF6E31" w:rsidRDefault="003C78ED"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0.389</w:t>
            </w:r>
          </w:p>
        </w:tc>
      </w:tr>
      <w:tr w:rsidR="001A0417" w:rsidRPr="00DF6E31" w14:paraId="5690C69C" w14:textId="77777777" w:rsidTr="00EE3297">
        <w:trPr>
          <w:trHeight w:val="314"/>
        </w:trPr>
        <w:tc>
          <w:tcPr>
            <w:tcW w:w="4721" w:type="dxa"/>
            <w:tcBorders>
              <w:bottom w:val="single" w:sz="4" w:space="0" w:color="auto"/>
            </w:tcBorders>
          </w:tcPr>
          <w:p w14:paraId="41C27F72" w14:textId="278D1D6A" w:rsidR="001A0417" w:rsidRDefault="001A0417" w:rsidP="00FE5318">
            <w:pPr>
              <w:spacing w:after="0" w:line="240" w:lineRule="auto"/>
              <w:rPr>
                <w:rFonts w:ascii="Times New Roman" w:hAnsi="Times New Roman" w:cs="Times New Roman"/>
                <w:sz w:val="20"/>
                <w:szCs w:val="20"/>
              </w:rPr>
            </w:pPr>
            <w:r w:rsidRPr="003C78ED">
              <w:rPr>
                <w:rFonts w:ascii="Times New Roman" w:hAnsi="Times New Roman" w:cs="Times New Roman"/>
                <w:b/>
                <w:bCs/>
                <w:sz w:val="20"/>
                <w:szCs w:val="20"/>
              </w:rPr>
              <w:t>Number of children</w:t>
            </w:r>
            <w:r>
              <w:rPr>
                <w:rFonts w:ascii="Times New Roman" w:hAnsi="Times New Roman" w:cs="Times New Roman"/>
                <w:sz w:val="20"/>
                <w:szCs w:val="20"/>
              </w:rPr>
              <w:t xml:space="preserve"> </w:t>
            </w:r>
            <w:r w:rsidRPr="00DF6E31">
              <w:rPr>
                <w:rFonts w:ascii="Times New Roman" w:hAnsi="Times New Roman" w:cs="Times New Roman"/>
                <w:sz w:val="20"/>
                <w:szCs w:val="20"/>
              </w:rPr>
              <w:t>(mean ± SD)</w:t>
            </w:r>
          </w:p>
        </w:tc>
        <w:tc>
          <w:tcPr>
            <w:tcW w:w="1781" w:type="dxa"/>
            <w:tcBorders>
              <w:bottom w:val="single" w:sz="4" w:space="0" w:color="auto"/>
            </w:tcBorders>
          </w:tcPr>
          <w:p w14:paraId="5DA020F0"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w:t>
            </w:r>
            <w:r w:rsidRPr="00DF6E31">
              <w:rPr>
                <w:rFonts w:ascii="Times New Roman" w:hAnsi="Times New Roman" w:cs="Times New Roman"/>
                <w:sz w:val="20"/>
                <w:szCs w:val="20"/>
              </w:rPr>
              <w:t>.</w:t>
            </w:r>
            <w:r>
              <w:rPr>
                <w:rFonts w:ascii="Times New Roman" w:hAnsi="Times New Roman" w:cs="Times New Roman"/>
                <w:sz w:val="20"/>
                <w:szCs w:val="20"/>
              </w:rPr>
              <w:t>6</w:t>
            </w:r>
            <w:r w:rsidRPr="00DF6E31">
              <w:rPr>
                <w:rFonts w:ascii="Times New Roman" w:hAnsi="Times New Roman" w:cs="Times New Roman"/>
                <w:sz w:val="20"/>
                <w:szCs w:val="20"/>
              </w:rPr>
              <w:t xml:space="preserve"> ± </w:t>
            </w:r>
            <w:r>
              <w:rPr>
                <w:rFonts w:ascii="Times New Roman" w:hAnsi="Times New Roman" w:cs="Times New Roman"/>
                <w:sz w:val="20"/>
                <w:szCs w:val="20"/>
              </w:rPr>
              <w:t>1.2</w:t>
            </w:r>
          </w:p>
        </w:tc>
        <w:tc>
          <w:tcPr>
            <w:tcW w:w="1752" w:type="dxa"/>
            <w:tcBorders>
              <w:bottom w:val="single" w:sz="4" w:space="0" w:color="auto"/>
            </w:tcBorders>
          </w:tcPr>
          <w:p w14:paraId="631C7FEF"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1.3</w:t>
            </w:r>
            <w:r w:rsidRPr="00DF6E31">
              <w:rPr>
                <w:rFonts w:ascii="Times New Roman" w:hAnsi="Times New Roman" w:cs="Times New Roman"/>
                <w:sz w:val="20"/>
                <w:szCs w:val="20"/>
              </w:rPr>
              <w:t xml:space="preserve">± </w:t>
            </w:r>
            <w:r>
              <w:rPr>
                <w:rFonts w:ascii="Times New Roman" w:hAnsi="Times New Roman" w:cs="Times New Roman"/>
                <w:sz w:val="20"/>
                <w:szCs w:val="20"/>
              </w:rPr>
              <w:t>1.0</w:t>
            </w:r>
          </w:p>
        </w:tc>
        <w:tc>
          <w:tcPr>
            <w:tcW w:w="1122" w:type="dxa"/>
            <w:tcBorders>
              <w:bottom w:val="single" w:sz="4" w:space="0" w:color="auto"/>
            </w:tcBorders>
          </w:tcPr>
          <w:p w14:paraId="5764F17A" w14:textId="77777777" w:rsidR="001A0417" w:rsidRPr="00DF6E31" w:rsidRDefault="001A0417" w:rsidP="00FE531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0.285</w:t>
            </w:r>
          </w:p>
        </w:tc>
      </w:tr>
    </w:tbl>
    <w:p w14:paraId="482FB74A" w14:textId="77777777" w:rsidR="00FE5318" w:rsidRDefault="00FE5318" w:rsidP="00314B6D">
      <w:pPr>
        <w:jc w:val="both"/>
        <w:rPr>
          <w:rFonts w:ascii="Times New Roman" w:eastAsia="Times New Roman" w:hAnsi="Times New Roman" w:cs="Times New Roman"/>
          <w:b/>
          <w:sz w:val="24"/>
          <w:szCs w:val="24"/>
        </w:rPr>
      </w:pPr>
    </w:p>
    <w:p w14:paraId="33515C5D" w14:textId="77777777" w:rsidR="00411F11" w:rsidRPr="002C4B4F" w:rsidRDefault="00411F11" w:rsidP="00D868DF">
      <w:pPr>
        <w:pStyle w:val="pf0"/>
        <w:rPr>
          <w:rFonts w:ascii="Segoe UI" w:eastAsiaTheme="majorEastAsia" w:hAnsi="Segoe UI" w:cs="Segoe UI"/>
          <w:sz w:val="18"/>
          <w:szCs w:val="18"/>
          <w:lang w:val="en-US"/>
        </w:rPr>
      </w:pPr>
    </w:p>
    <w:sectPr w:rsidR="00411F11" w:rsidRPr="002C4B4F">
      <w:pgSz w:w="11906" w:h="16838"/>
      <w:pgMar w:top="1440" w:right="1800" w:bottom="1440" w:left="180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embedRegular r:id="rId1" w:fontKey="{6387DC70-A9F4-4DD5-86A6-047356E29954}"/>
    <w:embedBold r:id="rId2" w:fontKey="{EFB34AD0-04A4-417D-833E-2C281E6F35D5}"/>
    <w:embedItalic r:id="rId3" w:fontKey="{CFFDAFD8-A75B-49C1-A4BB-D4621803BBD5}"/>
    <w:embedBoldItalic r:id="rId4" w:fontKey="{D7DFA01A-9521-4895-BF9A-34A931EAD4B6}"/>
  </w:font>
  <w:font w:name="Aptos Display">
    <w:charset w:val="00"/>
    <w:family w:val="swiss"/>
    <w:pitch w:val="variable"/>
    <w:sig w:usb0="20000287" w:usb1="00000003" w:usb2="00000000" w:usb3="00000000" w:csb0="0000019F" w:csb1="00000000"/>
    <w:embedRegular r:id="rId5" w:fontKey="{E490D42C-DB4B-4BA7-9407-2CDB564647F6}"/>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6" w:fontKey="{6AC84C25-1C5C-4AEE-8A3B-72AAE5E03A42}"/>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11CA"/>
    <w:rsid w:val="00004F8F"/>
    <w:rsid w:val="0000615B"/>
    <w:rsid w:val="000364A9"/>
    <w:rsid w:val="00036BB8"/>
    <w:rsid w:val="000549A3"/>
    <w:rsid w:val="000636AB"/>
    <w:rsid w:val="000764EC"/>
    <w:rsid w:val="000820E0"/>
    <w:rsid w:val="00085591"/>
    <w:rsid w:val="000943EA"/>
    <w:rsid w:val="000A0C9C"/>
    <w:rsid w:val="000B11EB"/>
    <w:rsid w:val="000B1EDA"/>
    <w:rsid w:val="000E37AD"/>
    <w:rsid w:val="001428CE"/>
    <w:rsid w:val="00150F5E"/>
    <w:rsid w:val="001A0417"/>
    <w:rsid w:val="001A6713"/>
    <w:rsid w:val="001B18BB"/>
    <w:rsid w:val="001C2229"/>
    <w:rsid w:val="001D2892"/>
    <w:rsid w:val="001E0357"/>
    <w:rsid w:val="001E25A6"/>
    <w:rsid w:val="0021656B"/>
    <w:rsid w:val="00224A86"/>
    <w:rsid w:val="00246DB7"/>
    <w:rsid w:val="00266324"/>
    <w:rsid w:val="00271FBB"/>
    <w:rsid w:val="00277C26"/>
    <w:rsid w:val="002A135C"/>
    <w:rsid w:val="002A6094"/>
    <w:rsid w:val="002B4B6B"/>
    <w:rsid w:val="002B7BA1"/>
    <w:rsid w:val="002C4B4F"/>
    <w:rsid w:val="002D1C78"/>
    <w:rsid w:val="003116A1"/>
    <w:rsid w:val="00314B6D"/>
    <w:rsid w:val="0031553C"/>
    <w:rsid w:val="00325A88"/>
    <w:rsid w:val="003446AC"/>
    <w:rsid w:val="00347EF5"/>
    <w:rsid w:val="00391846"/>
    <w:rsid w:val="0039620D"/>
    <w:rsid w:val="00397176"/>
    <w:rsid w:val="003974EB"/>
    <w:rsid w:val="003A5A95"/>
    <w:rsid w:val="003C103D"/>
    <w:rsid w:val="003C78ED"/>
    <w:rsid w:val="003F1DFD"/>
    <w:rsid w:val="003F7EBC"/>
    <w:rsid w:val="00402F9E"/>
    <w:rsid w:val="00406BD7"/>
    <w:rsid w:val="00411459"/>
    <w:rsid w:val="00411F11"/>
    <w:rsid w:val="00424CF8"/>
    <w:rsid w:val="00425324"/>
    <w:rsid w:val="00427F05"/>
    <w:rsid w:val="00440B2D"/>
    <w:rsid w:val="004520B5"/>
    <w:rsid w:val="00475FCE"/>
    <w:rsid w:val="004864B4"/>
    <w:rsid w:val="00497D17"/>
    <w:rsid w:val="004B086F"/>
    <w:rsid w:val="004F4E1D"/>
    <w:rsid w:val="005040CE"/>
    <w:rsid w:val="005269D0"/>
    <w:rsid w:val="00526B82"/>
    <w:rsid w:val="00531DB6"/>
    <w:rsid w:val="005B1E9D"/>
    <w:rsid w:val="005C4442"/>
    <w:rsid w:val="005D11CA"/>
    <w:rsid w:val="005F505E"/>
    <w:rsid w:val="006028BC"/>
    <w:rsid w:val="00612C78"/>
    <w:rsid w:val="00627660"/>
    <w:rsid w:val="0065140B"/>
    <w:rsid w:val="00666EC9"/>
    <w:rsid w:val="00690EC1"/>
    <w:rsid w:val="006A298A"/>
    <w:rsid w:val="006D1604"/>
    <w:rsid w:val="006D66C1"/>
    <w:rsid w:val="006E1B32"/>
    <w:rsid w:val="0077455B"/>
    <w:rsid w:val="007B25A4"/>
    <w:rsid w:val="007C2E1C"/>
    <w:rsid w:val="007C3593"/>
    <w:rsid w:val="007C5CE0"/>
    <w:rsid w:val="007E370C"/>
    <w:rsid w:val="007F4F28"/>
    <w:rsid w:val="00801E3D"/>
    <w:rsid w:val="00804A2E"/>
    <w:rsid w:val="0082481B"/>
    <w:rsid w:val="00834DCF"/>
    <w:rsid w:val="0083584A"/>
    <w:rsid w:val="0084690F"/>
    <w:rsid w:val="008564F0"/>
    <w:rsid w:val="00893FF1"/>
    <w:rsid w:val="008B085F"/>
    <w:rsid w:val="008B2ED7"/>
    <w:rsid w:val="008F2486"/>
    <w:rsid w:val="00917838"/>
    <w:rsid w:val="00923E78"/>
    <w:rsid w:val="00930FB2"/>
    <w:rsid w:val="009408C6"/>
    <w:rsid w:val="009536CB"/>
    <w:rsid w:val="009958B0"/>
    <w:rsid w:val="009B13EC"/>
    <w:rsid w:val="009C1EBD"/>
    <w:rsid w:val="009E2E4F"/>
    <w:rsid w:val="009E590D"/>
    <w:rsid w:val="009F2690"/>
    <w:rsid w:val="00A360C2"/>
    <w:rsid w:val="00A44AF5"/>
    <w:rsid w:val="00A45588"/>
    <w:rsid w:val="00A51E28"/>
    <w:rsid w:val="00A9438A"/>
    <w:rsid w:val="00AA25C0"/>
    <w:rsid w:val="00AD1FEA"/>
    <w:rsid w:val="00B00F77"/>
    <w:rsid w:val="00B10ED8"/>
    <w:rsid w:val="00B123AD"/>
    <w:rsid w:val="00B34CF6"/>
    <w:rsid w:val="00B63824"/>
    <w:rsid w:val="00B83FDF"/>
    <w:rsid w:val="00BB2BAA"/>
    <w:rsid w:val="00BB4062"/>
    <w:rsid w:val="00BC2790"/>
    <w:rsid w:val="00BC4009"/>
    <w:rsid w:val="00BC627A"/>
    <w:rsid w:val="00BD5DEA"/>
    <w:rsid w:val="00BF12F7"/>
    <w:rsid w:val="00C00705"/>
    <w:rsid w:val="00C2298F"/>
    <w:rsid w:val="00C610B2"/>
    <w:rsid w:val="00C73292"/>
    <w:rsid w:val="00C85CA7"/>
    <w:rsid w:val="00C87864"/>
    <w:rsid w:val="00CA3B4C"/>
    <w:rsid w:val="00CB3251"/>
    <w:rsid w:val="00CC5B46"/>
    <w:rsid w:val="00CE1177"/>
    <w:rsid w:val="00CE2B9A"/>
    <w:rsid w:val="00D37CA1"/>
    <w:rsid w:val="00D66F7D"/>
    <w:rsid w:val="00D722D6"/>
    <w:rsid w:val="00D831FD"/>
    <w:rsid w:val="00D86636"/>
    <w:rsid w:val="00D868DF"/>
    <w:rsid w:val="00D92853"/>
    <w:rsid w:val="00D97355"/>
    <w:rsid w:val="00DA7156"/>
    <w:rsid w:val="00DD7CB6"/>
    <w:rsid w:val="00DF3686"/>
    <w:rsid w:val="00DF4B8D"/>
    <w:rsid w:val="00E06121"/>
    <w:rsid w:val="00E2400C"/>
    <w:rsid w:val="00E329F5"/>
    <w:rsid w:val="00E52102"/>
    <w:rsid w:val="00E55362"/>
    <w:rsid w:val="00E83587"/>
    <w:rsid w:val="00EC49D0"/>
    <w:rsid w:val="00EE3297"/>
    <w:rsid w:val="00EE3A9A"/>
    <w:rsid w:val="00EF38BA"/>
    <w:rsid w:val="00EF5D2C"/>
    <w:rsid w:val="00F022EF"/>
    <w:rsid w:val="00F162FB"/>
    <w:rsid w:val="00F24B7A"/>
    <w:rsid w:val="00F5179B"/>
    <w:rsid w:val="00F60632"/>
    <w:rsid w:val="00F77FE5"/>
    <w:rsid w:val="00FA262C"/>
    <w:rsid w:val="00FA61D7"/>
    <w:rsid w:val="00FB7401"/>
    <w:rsid w:val="00FC5695"/>
    <w:rsid w:val="00FD0999"/>
    <w:rsid w:val="00FE47B9"/>
    <w:rsid w:val="00FE5318"/>
  </w:rsids>
  <m:mathPr>
    <m:mathFont m:val="Cambria Math"/>
    <m:brkBin m:val="before"/>
    <m:brkBinSub m:val="--"/>
    <m:smallFrac m:val="0"/>
    <m:dispDef/>
    <m:lMargin m:val="0"/>
    <m:rMargin m:val="0"/>
    <m:defJc m:val="centerGroup"/>
    <m:wrapIndent m:val="1440"/>
    <m:intLim m:val="subSup"/>
    <m:naryLim m:val="undOvr"/>
  </m:mathPr>
  <w:themeFontLang w:val="sv-S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4A660C"/>
  <w15:docId w15:val="{FBB94442-BADF-4A25-BF81-CA0FA80E4C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ptos" w:eastAsia="Aptos" w:hAnsi="Aptos" w:cs="Aptos"/>
        <w:sz w:val="22"/>
        <w:szCs w:val="22"/>
        <w:lang w:val="lv-LV" w:eastAsia="sv-S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958B0"/>
  </w:style>
  <w:style w:type="paragraph" w:styleId="Rubrik1">
    <w:name w:val="heading 1"/>
    <w:basedOn w:val="Normal"/>
    <w:next w:val="Normal"/>
    <w:link w:val="Rubrik1Char"/>
    <w:uiPriority w:val="9"/>
    <w:qFormat/>
    <w:rsid w:val="008D7AE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Rubrik2">
    <w:name w:val="heading 2"/>
    <w:basedOn w:val="Normal"/>
    <w:next w:val="Normal"/>
    <w:link w:val="Rubrik2Char"/>
    <w:uiPriority w:val="9"/>
    <w:semiHidden/>
    <w:unhideWhenUsed/>
    <w:qFormat/>
    <w:rsid w:val="008D7AE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Rubrik3">
    <w:name w:val="heading 3"/>
    <w:basedOn w:val="Normal"/>
    <w:next w:val="Normal"/>
    <w:link w:val="Rubrik3Char"/>
    <w:uiPriority w:val="9"/>
    <w:semiHidden/>
    <w:unhideWhenUsed/>
    <w:qFormat/>
    <w:rsid w:val="008D7AEA"/>
    <w:pPr>
      <w:keepNext/>
      <w:keepLines/>
      <w:spacing w:before="160" w:after="80"/>
      <w:outlineLvl w:val="2"/>
    </w:pPr>
    <w:rPr>
      <w:rFonts w:eastAsiaTheme="majorEastAsia" w:cstheme="majorBidi"/>
      <w:color w:val="0F4761" w:themeColor="accent1" w:themeShade="BF"/>
      <w:sz w:val="28"/>
      <w:szCs w:val="28"/>
    </w:rPr>
  </w:style>
  <w:style w:type="paragraph" w:styleId="Rubrik4">
    <w:name w:val="heading 4"/>
    <w:basedOn w:val="Normal"/>
    <w:next w:val="Normal"/>
    <w:link w:val="Rubrik4Char"/>
    <w:uiPriority w:val="9"/>
    <w:semiHidden/>
    <w:unhideWhenUsed/>
    <w:qFormat/>
    <w:rsid w:val="008D7AEA"/>
    <w:pPr>
      <w:keepNext/>
      <w:keepLines/>
      <w:spacing w:before="80" w:after="40"/>
      <w:outlineLvl w:val="3"/>
    </w:pPr>
    <w:rPr>
      <w:rFonts w:eastAsiaTheme="majorEastAsia" w:cstheme="majorBidi"/>
      <w:i/>
      <w:iCs/>
      <w:color w:val="0F4761" w:themeColor="accent1" w:themeShade="BF"/>
    </w:rPr>
  </w:style>
  <w:style w:type="paragraph" w:styleId="Rubrik5">
    <w:name w:val="heading 5"/>
    <w:basedOn w:val="Normal"/>
    <w:next w:val="Normal"/>
    <w:link w:val="Rubrik5Char"/>
    <w:uiPriority w:val="9"/>
    <w:semiHidden/>
    <w:unhideWhenUsed/>
    <w:qFormat/>
    <w:rsid w:val="008D7AEA"/>
    <w:pPr>
      <w:keepNext/>
      <w:keepLines/>
      <w:spacing w:before="80" w:after="40"/>
      <w:outlineLvl w:val="4"/>
    </w:pPr>
    <w:rPr>
      <w:rFonts w:eastAsiaTheme="majorEastAsia" w:cstheme="majorBidi"/>
      <w:color w:val="0F4761" w:themeColor="accent1" w:themeShade="BF"/>
    </w:rPr>
  </w:style>
  <w:style w:type="paragraph" w:styleId="Rubrik6">
    <w:name w:val="heading 6"/>
    <w:basedOn w:val="Normal"/>
    <w:next w:val="Normal"/>
    <w:link w:val="Rubrik6Char"/>
    <w:uiPriority w:val="9"/>
    <w:semiHidden/>
    <w:unhideWhenUsed/>
    <w:qFormat/>
    <w:rsid w:val="008D7AEA"/>
    <w:pPr>
      <w:keepNext/>
      <w:keepLines/>
      <w:spacing w:before="40" w:after="0"/>
      <w:outlineLvl w:val="5"/>
    </w:pPr>
    <w:rPr>
      <w:rFonts w:eastAsiaTheme="majorEastAsia" w:cstheme="majorBidi"/>
      <w:i/>
      <w:iCs/>
      <w:color w:val="595959" w:themeColor="text1" w:themeTint="A6"/>
    </w:rPr>
  </w:style>
  <w:style w:type="paragraph" w:styleId="Rubrik7">
    <w:name w:val="heading 7"/>
    <w:basedOn w:val="Normal"/>
    <w:next w:val="Normal"/>
    <w:link w:val="Rubrik7Char"/>
    <w:uiPriority w:val="9"/>
    <w:semiHidden/>
    <w:unhideWhenUsed/>
    <w:qFormat/>
    <w:rsid w:val="008D7AEA"/>
    <w:pPr>
      <w:keepNext/>
      <w:keepLines/>
      <w:spacing w:before="40" w:after="0"/>
      <w:outlineLvl w:val="6"/>
    </w:pPr>
    <w:rPr>
      <w:rFonts w:eastAsiaTheme="majorEastAsia" w:cstheme="majorBidi"/>
      <w:color w:val="595959" w:themeColor="text1" w:themeTint="A6"/>
    </w:rPr>
  </w:style>
  <w:style w:type="paragraph" w:styleId="Rubrik8">
    <w:name w:val="heading 8"/>
    <w:basedOn w:val="Normal"/>
    <w:next w:val="Normal"/>
    <w:link w:val="Rubrik8Char"/>
    <w:uiPriority w:val="9"/>
    <w:semiHidden/>
    <w:unhideWhenUsed/>
    <w:qFormat/>
    <w:rsid w:val="008D7AEA"/>
    <w:pPr>
      <w:keepNext/>
      <w:keepLines/>
      <w:spacing w:after="0"/>
      <w:outlineLvl w:val="7"/>
    </w:pPr>
    <w:rPr>
      <w:rFonts w:eastAsiaTheme="majorEastAsia" w:cstheme="majorBidi"/>
      <w:i/>
      <w:iCs/>
      <w:color w:val="272727" w:themeColor="text1" w:themeTint="D8"/>
    </w:rPr>
  </w:style>
  <w:style w:type="paragraph" w:styleId="Rubrik9">
    <w:name w:val="heading 9"/>
    <w:basedOn w:val="Normal"/>
    <w:next w:val="Normal"/>
    <w:link w:val="Rubrik9Char"/>
    <w:uiPriority w:val="9"/>
    <w:semiHidden/>
    <w:unhideWhenUsed/>
    <w:qFormat/>
    <w:rsid w:val="008D7AEA"/>
    <w:pPr>
      <w:keepNext/>
      <w:keepLines/>
      <w:spacing w:after="0"/>
      <w:outlineLvl w:val="8"/>
    </w:pPr>
    <w:rPr>
      <w:rFonts w:eastAsiaTheme="majorEastAsia" w:cstheme="majorBidi"/>
      <w:color w:val="272727" w:themeColor="text1" w:themeTint="D8"/>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Rubrik">
    <w:name w:val="Title"/>
    <w:basedOn w:val="Normal"/>
    <w:next w:val="Normal"/>
    <w:link w:val="RubrikChar"/>
    <w:uiPriority w:val="10"/>
    <w:qFormat/>
    <w:rsid w:val="008D7AE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Rubrik1Char">
    <w:name w:val="Rubrik 1 Char"/>
    <w:basedOn w:val="Standardstycketeckensnitt"/>
    <w:link w:val="Rubrik1"/>
    <w:uiPriority w:val="9"/>
    <w:rsid w:val="008D7AEA"/>
    <w:rPr>
      <w:rFonts w:asciiTheme="majorHAnsi" w:eastAsiaTheme="majorEastAsia" w:hAnsiTheme="majorHAnsi" w:cstheme="majorBidi"/>
      <w:color w:val="0F4761" w:themeColor="accent1" w:themeShade="BF"/>
      <w:sz w:val="40"/>
      <w:szCs w:val="40"/>
    </w:rPr>
  </w:style>
  <w:style w:type="character" w:customStyle="1" w:styleId="Rubrik2Char">
    <w:name w:val="Rubrik 2 Char"/>
    <w:basedOn w:val="Standardstycketeckensnitt"/>
    <w:link w:val="Rubrik2"/>
    <w:uiPriority w:val="9"/>
    <w:semiHidden/>
    <w:rsid w:val="008D7AEA"/>
    <w:rPr>
      <w:rFonts w:asciiTheme="majorHAnsi" w:eastAsiaTheme="majorEastAsia" w:hAnsiTheme="majorHAnsi" w:cstheme="majorBidi"/>
      <w:color w:val="0F4761" w:themeColor="accent1" w:themeShade="BF"/>
      <w:sz w:val="32"/>
      <w:szCs w:val="32"/>
    </w:rPr>
  </w:style>
  <w:style w:type="character" w:customStyle="1" w:styleId="Rubrik3Char">
    <w:name w:val="Rubrik 3 Char"/>
    <w:basedOn w:val="Standardstycketeckensnitt"/>
    <w:link w:val="Rubrik3"/>
    <w:uiPriority w:val="9"/>
    <w:semiHidden/>
    <w:rsid w:val="008D7AEA"/>
    <w:rPr>
      <w:rFonts w:eastAsiaTheme="majorEastAsia" w:cstheme="majorBidi"/>
      <w:color w:val="0F4761" w:themeColor="accent1" w:themeShade="BF"/>
      <w:sz w:val="28"/>
      <w:szCs w:val="28"/>
    </w:rPr>
  </w:style>
  <w:style w:type="character" w:customStyle="1" w:styleId="Rubrik4Char">
    <w:name w:val="Rubrik 4 Char"/>
    <w:basedOn w:val="Standardstycketeckensnitt"/>
    <w:link w:val="Rubrik4"/>
    <w:uiPriority w:val="9"/>
    <w:semiHidden/>
    <w:rsid w:val="008D7AEA"/>
    <w:rPr>
      <w:rFonts w:eastAsiaTheme="majorEastAsia" w:cstheme="majorBidi"/>
      <w:i/>
      <w:iCs/>
      <w:color w:val="0F4761" w:themeColor="accent1" w:themeShade="BF"/>
    </w:rPr>
  </w:style>
  <w:style w:type="character" w:customStyle="1" w:styleId="Rubrik5Char">
    <w:name w:val="Rubrik 5 Char"/>
    <w:basedOn w:val="Standardstycketeckensnitt"/>
    <w:link w:val="Rubrik5"/>
    <w:uiPriority w:val="9"/>
    <w:semiHidden/>
    <w:rsid w:val="008D7AEA"/>
    <w:rPr>
      <w:rFonts w:eastAsiaTheme="majorEastAsia" w:cstheme="majorBidi"/>
      <w:color w:val="0F4761" w:themeColor="accent1" w:themeShade="BF"/>
    </w:rPr>
  </w:style>
  <w:style w:type="character" w:customStyle="1" w:styleId="Rubrik6Char">
    <w:name w:val="Rubrik 6 Char"/>
    <w:basedOn w:val="Standardstycketeckensnitt"/>
    <w:link w:val="Rubrik6"/>
    <w:uiPriority w:val="9"/>
    <w:semiHidden/>
    <w:rsid w:val="008D7AEA"/>
    <w:rPr>
      <w:rFonts w:eastAsiaTheme="majorEastAsia" w:cstheme="majorBidi"/>
      <w:i/>
      <w:iCs/>
      <w:color w:val="595959" w:themeColor="text1" w:themeTint="A6"/>
    </w:rPr>
  </w:style>
  <w:style w:type="character" w:customStyle="1" w:styleId="Rubrik7Char">
    <w:name w:val="Rubrik 7 Char"/>
    <w:basedOn w:val="Standardstycketeckensnitt"/>
    <w:link w:val="Rubrik7"/>
    <w:uiPriority w:val="9"/>
    <w:semiHidden/>
    <w:rsid w:val="008D7AEA"/>
    <w:rPr>
      <w:rFonts w:eastAsiaTheme="majorEastAsia" w:cstheme="majorBidi"/>
      <w:color w:val="595959" w:themeColor="text1" w:themeTint="A6"/>
    </w:rPr>
  </w:style>
  <w:style w:type="character" w:customStyle="1" w:styleId="Rubrik8Char">
    <w:name w:val="Rubrik 8 Char"/>
    <w:basedOn w:val="Standardstycketeckensnitt"/>
    <w:link w:val="Rubrik8"/>
    <w:uiPriority w:val="9"/>
    <w:semiHidden/>
    <w:rsid w:val="008D7AEA"/>
    <w:rPr>
      <w:rFonts w:eastAsiaTheme="majorEastAsia" w:cstheme="majorBidi"/>
      <w:i/>
      <w:iCs/>
      <w:color w:val="272727" w:themeColor="text1" w:themeTint="D8"/>
    </w:rPr>
  </w:style>
  <w:style w:type="character" w:customStyle="1" w:styleId="Rubrik9Char">
    <w:name w:val="Rubrik 9 Char"/>
    <w:basedOn w:val="Standardstycketeckensnitt"/>
    <w:link w:val="Rubrik9"/>
    <w:uiPriority w:val="9"/>
    <w:semiHidden/>
    <w:rsid w:val="008D7AEA"/>
    <w:rPr>
      <w:rFonts w:eastAsiaTheme="majorEastAsia" w:cstheme="majorBidi"/>
      <w:color w:val="272727" w:themeColor="text1" w:themeTint="D8"/>
    </w:rPr>
  </w:style>
  <w:style w:type="character" w:customStyle="1" w:styleId="RubrikChar">
    <w:name w:val="Rubrik Char"/>
    <w:basedOn w:val="Standardstycketeckensnitt"/>
    <w:link w:val="Rubrik"/>
    <w:uiPriority w:val="10"/>
    <w:rsid w:val="008D7AEA"/>
    <w:rPr>
      <w:rFonts w:asciiTheme="majorHAnsi" w:eastAsiaTheme="majorEastAsia" w:hAnsiTheme="majorHAnsi" w:cstheme="majorBidi"/>
      <w:spacing w:val="-10"/>
      <w:kern w:val="28"/>
      <w:sz w:val="56"/>
      <w:szCs w:val="56"/>
    </w:rPr>
  </w:style>
  <w:style w:type="paragraph" w:styleId="Underrubrik">
    <w:name w:val="Subtitle"/>
    <w:basedOn w:val="Normal"/>
    <w:next w:val="Normal"/>
    <w:link w:val="UnderrubrikChar"/>
    <w:uiPriority w:val="11"/>
    <w:qFormat/>
    <w:rPr>
      <w:color w:val="595959"/>
      <w:sz w:val="28"/>
      <w:szCs w:val="28"/>
    </w:rPr>
  </w:style>
  <w:style w:type="character" w:customStyle="1" w:styleId="UnderrubrikChar">
    <w:name w:val="Underrubrik Char"/>
    <w:basedOn w:val="Standardstycketeckensnitt"/>
    <w:link w:val="Underrubrik"/>
    <w:uiPriority w:val="11"/>
    <w:rsid w:val="008D7AEA"/>
    <w:rPr>
      <w:rFonts w:eastAsiaTheme="majorEastAsia" w:cstheme="majorBidi"/>
      <w:color w:val="595959" w:themeColor="text1" w:themeTint="A6"/>
      <w:spacing w:val="15"/>
      <w:sz w:val="28"/>
      <w:szCs w:val="28"/>
    </w:rPr>
  </w:style>
  <w:style w:type="paragraph" w:styleId="Citat">
    <w:name w:val="Quote"/>
    <w:basedOn w:val="Normal"/>
    <w:next w:val="Normal"/>
    <w:link w:val="CitatChar"/>
    <w:uiPriority w:val="29"/>
    <w:qFormat/>
    <w:rsid w:val="008D7AEA"/>
    <w:pPr>
      <w:spacing w:before="160"/>
      <w:jc w:val="center"/>
    </w:pPr>
    <w:rPr>
      <w:i/>
      <w:iCs/>
      <w:color w:val="404040" w:themeColor="text1" w:themeTint="BF"/>
    </w:rPr>
  </w:style>
  <w:style w:type="character" w:customStyle="1" w:styleId="CitatChar">
    <w:name w:val="Citat Char"/>
    <w:basedOn w:val="Standardstycketeckensnitt"/>
    <w:link w:val="Citat"/>
    <w:uiPriority w:val="29"/>
    <w:rsid w:val="008D7AEA"/>
    <w:rPr>
      <w:i/>
      <w:iCs/>
      <w:color w:val="404040" w:themeColor="text1" w:themeTint="BF"/>
    </w:rPr>
  </w:style>
  <w:style w:type="paragraph" w:styleId="Liststycke">
    <w:name w:val="List Paragraph"/>
    <w:basedOn w:val="Normal"/>
    <w:uiPriority w:val="34"/>
    <w:qFormat/>
    <w:rsid w:val="008D7AEA"/>
    <w:pPr>
      <w:ind w:left="720"/>
      <w:contextualSpacing/>
    </w:pPr>
  </w:style>
  <w:style w:type="character" w:styleId="Starkbetoning">
    <w:name w:val="Intense Emphasis"/>
    <w:basedOn w:val="Standardstycketeckensnitt"/>
    <w:uiPriority w:val="21"/>
    <w:qFormat/>
    <w:rsid w:val="008D7AEA"/>
    <w:rPr>
      <w:i/>
      <w:iCs/>
      <w:color w:val="0F4761" w:themeColor="accent1" w:themeShade="BF"/>
    </w:rPr>
  </w:style>
  <w:style w:type="paragraph" w:styleId="Starktcitat">
    <w:name w:val="Intense Quote"/>
    <w:basedOn w:val="Normal"/>
    <w:next w:val="Normal"/>
    <w:link w:val="StarktcitatChar"/>
    <w:uiPriority w:val="30"/>
    <w:qFormat/>
    <w:rsid w:val="008D7AE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StarktcitatChar">
    <w:name w:val="Starkt citat Char"/>
    <w:basedOn w:val="Standardstycketeckensnitt"/>
    <w:link w:val="Starktcitat"/>
    <w:uiPriority w:val="30"/>
    <w:rsid w:val="008D7AEA"/>
    <w:rPr>
      <w:i/>
      <w:iCs/>
      <w:color w:val="0F4761" w:themeColor="accent1" w:themeShade="BF"/>
    </w:rPr>
  </w:style>
  <w:style w:type="character" w:styleId="Starkreferens">
    <w:name w:val="Intense Reference"/>
    <w:basedOn w:val="Standardstycketeckensnitt"/>
    <w:uiPriority w:val="32"/>
    <w:qFormat/>
    <w:rsid w:val="008D7AEA"/>
    <w:rPr>
      <w:b/>
      <w:bCs/>
      <w:smallCaps/>
      <w:color w:val="0F4761" w:themeColor="accent1" w:themeShade="BF"/>
      <w:spacing w:val="5"/>
    </w:rPr>
  </w:style>
  <w:style w:type="character" w:styleId="Kommentarsreferens">
    <w:name w:val="annotation reference"/>
    <w:basedOn w:val="Standardstycketeckensnitt"/>
    <w:uiPriority w:val="99"/>
    <w:semiHidden/>
    <w:unhideWhenUsed/>
    <w:rsid w:val="00BB4062"/>
    <w:rPr>
      <w:sz w:val="16"/>
      <w:szCs w:val="16"/>
    </w:rPr>
  </w:style>
  <w:style w:type="paragraph" w:styleId="Kommentarer">
    <w:name w:val="annotation text"/>
    <w:basedOn w:val="Normal"/>
    <w:link w:val="KommentarerChar"/>
    <w:uiPriority w:val="99"/>
    <w:unhideWhenUsed/>
    <w:rsid w:val="00BB4062"/>
    <w:pPr>
      <w:spacing w:line="240" w:lineRule="auto"/>
    </w:pPr>
    <w:rPr>
      <w:rFonts w:asciiTheme="minorHAnsi" w:eastAsiaTheme="minorHAnsi" w:hAnsiTheme="minorHAnsi" w:cstheme="minorBidi"/>
      <w:kern w:val="2"/>
      <w:sz w:val="20"/>
      <w:szCs w:val="20"/>
      <w:lang w:eastAsia="en-US"/>
      <w14:ligatures w14:val="standardContextual"/>
    </w:rPr>
  </w:style>
  <w:style w:type="character" w:customStyle="1" w:styleId="KommentarerChar">
    <w:name w:val="Kommentarer Char"/>
    <w:basedOn w:val="Standardstycketeckensnitt"/>
    <w:link w:val="Kommentarer"/>
    <w:uiPriority w:val="99"/>
    <w:rsid w:val="00BB4062"/>
    <w:rPr>
      <w:rFonts w:asciiTheme="minorHAnsi" w:eastAsiaTheme="minorHAnsi" w:hAnsiTheme="minorHAnsi" w:cstheme="minorBidi"/>
      <w:kern w:val="2"/>
      <w:sz w:val="20"/>
      <w:szCs w:val="20"/>
      <w:lang w:eastAsia="en-US"/>
      <w14:ligatures w14:val="standardContextual"/>
    </w:rPr>
  </w:style>
  <w:style w:type="paragraph" w:customStyle="1" w:styleId="pf0">
    <w:name w:val="pf0"/>
    <w:basedOn w:val="Normal"/>
    <w:rsid w:val="009F2690"/>
    <w:pPr>
      <w:spacing w:before="100" w:beforeAutospacing="1" w:after="100" w:afterAutospacing="1" w:line="240" w:lineRule="auto"/>
    </w:pPr>
    <w:rPr>
      <w:rFonts w:ascii="Times New Roman" w:eastAsia="Times New Roman" w:hAnsi="Times New Roman" w:cs="Times New Roman"/>
      <w:sz w:val="24"/>
      <w:szCs w:val="24"/>
      <w:lang w:val="sv-SE"/>
    </w:rPr>
  </w:style>
  <w:style w:type="character" w:customStyle="1" w:styleId="cf01">
    <w:name w:val="cf01"/>
    <w:basedOn w:val="Standardstycketeckensnitt"/>
    <w:rsid w:val="009F2690"/>
    <w:rPr>
      <w:rFonts w:ascii="Segoe UI" w:hAnsi="Segoe UI" w:cs="Segoe UI" w:hint="default"/>
      <w:sz w:val="18"/>
      <w:szCs w:val="18"/>
    </w:rPr>
  </w:style>
  <w:style w:type="paragraph" w:styleId="Kommentarsmne">
    <w:name w:val="annotation subject"/>
    <w:basedOn w:val="Kommentarer"/>
    <w:next w:val="Kommentarer"/>
    <w:link w:val="KommentarsmneChar"/>
    <w:uiPriority w:val="99"/>
    <w:semiHidden/>
    <w:unhideWhenUsed/>
    <w:rsid w:val="009C1EBD"/>
    <w:rPr>
      <w:rFonts w:ascii="Aptos" w:eastAsia="Aptos" w:hAnsi="Aptos" w:cs="Aptos"/>
      <w:b/>
      <w:bCs/>
      <w:kern w:val="0"/>
      <w:lang w:eastAsia="sv-SE"/>
      <w14:ligatures w14:val="none"/>
    </w:rPr>
  </w:style>
  <w:style w:type="character" w:customStyle="1" w:styleId="KommentarsmneChar">
    <w:name w:val="Kommentarsämne Char"/>
    <w:basedOn w:val="KommentarerChar"/>
    <w:link w:val="Kommentarsmne"/>
    <w:uiPriority w:val="99"/>
    <w:semiHidden/>
    <w:rsid w:val="009C1EBD"/>
    <w:rPr>
      <w:rFonts w:asciiTheme="minorHAnsi" w:eastAsiaTheme="minorHAnsi" w:hAnsiTheme="minorHAnsi" w:cstheme="minorBidi"/>
      <w:b/>
      <w:bCs/>
      <w:kern w:val="2"/>
      <w:sz w:val="20"/>
      <w:szCs w:val="20"/>
      <w:lang w:eastAsia="en-US"/>
      <w14:ligatures w14:val="standardContextual"/>
    </w:rPr>
  </w:style>
  <w:style w:type="character" w:styleId="Hyperlnk">
    <w:name w:val="Hyperlink"/>
    <w:basedOn w:val="Standardstycketeckensnitt"/>
    <w:uiPriority w:val="99"/>
    <w:unhideWhenUsed/>
    <w:rsid w:val="00D831FD"/>
    <w:rPr>
      <w:color w:val="467886" w:themeColor="hyperlink"/>
      <w:u w:val="single"/>
    </w:rPr>
  </w:style>
  <w:style w:type="character" w:styleId="Olstomnmnande">
    <w:name w:val="Unresolved Mention"/>
    <w:basedOn w:val="Standardstycketeckensnitt"/>
    <w:uiPriority w:val="99"/>
    <w:semiHidden/>
    <w:unhideWhenUsed/>
    <w:rsid w:val="00D831FD"/>
    <w:rPr>
      <w:color w:val="605E5C"/>
      <w:shd w:val="clear" w:color="auto" w:fill="E1DFDD"/>
    </w:rPr>
  </w:style>
  <w:style w:type="table" w:styleId="Tabellrutnt">
    <w:name w:val="Table Grid"/>
    <w:basedOn w:val="Normaltabell"/>
    <w:uiPriority w:val="39"/>
    <w:rsid w:val="00411F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DF3686"/>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8091411">
      <w:bodyDiv w:val="1"/>
      <w:marLeft w:val="0"/>
      <w:marRight w:val="0"/>
      <w:marTop w:val="0"/>
      <w:marBottom w:val="0"/>
      <w:divBdr>
        <w:top w:val="none" w:sz="0" w:space="0" w:color="auto"/>
        <w:left w:val="none" w:sz="0" w:space="0" w:color="auto"/>
        <w:bottom w:val="none" w:sz="0" w:space="0" w:color="auto"/>
        <w:right w:val="none" w:sz="0" w:space="0" w:color="auto"/>
      </w:divBdr>
    </w:div>
    <w:div w:id="1084228419">
      <w:bodyDiv w:val="1"/>
      <w:marLeft w:val="0"/>
      <w:marRight w:val="0"/>
      <w:marTop w:val="0"/>
      <w:marBottom w:val="0"/>
      <w:divBdr>
        <w:top w:val="none" w:sz="0" w:space="0" w:color="auto"/>
        <w:left w:val="none" w:sz="0" w:space="0" w:color="auto"/>
        <w:bottom w:val="none" w:sz="0" w:space="0" w:color="auto"/>
        <w:right w:val="none" w:sz="0" w:space="0" w:color="auto"/>
      </w:divBdr>
    </w:div>
    <w:div w:id="1699887640">
      <w:bodyDiv w:val="1"/>
      <w:marLeft w:val="0"/>
      <w:marRight w:val="0"/>
      <w:marTop w:val="0"/>
      <w:marBottom w:val="0"/>
      <w:divBdr>
        <w:top w:val="none" w:sz="0" w:space="0" w:color="auto"/>
        <w:left w:val="none" w:sz="0" w:space="0" w:color="auto"/>
        <w:bottom w:val="none" w:sz="0" w:space="0" w:color="auto"/>
        <w:right w:val="none" w:sz="0" w:space="0" w:color="auto"/>
      </w:divBdr>
    </w:div>
    <w:div w:id="1830441229">
      <w:bodyDiv w:val="1"/>
      <w:marLeft w:val="0"/>
      <w:marRight w:val="0"/>
      <w:marTop w:val="0"/>
      <w:marBottom w:val="0"/>
      <w:divBdr>
        <w:top w:val="none" w:sz="0" w:space="0" w:color="auto"/>
        <w:left w:val="none" w:sz="0" w:space="0" w:color="auto"/>
        <w:bottom w:val="none" w:sz="0" w:space="0" w:color="auto"/>
        <w:right w:val="none" w:sz="0" w:space="0" w:color="auto"/>
      </w:divBdr>
    </w:div>
    <w:div w:id="197324326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6cyH32D5Z3x9zAUARCKXm8lvcQg==">CgMxLjA4AHIhMTFWNk5oa0tZWVJpcWVTa0QyRUk3emlPY3Rhdk5TeHNq</go:docsCustomData>
</go:gDocsCustomXmlDataStorage>
</file>

<file path=customXml/itemProps1.xml><?xml version="1.0" encoding="utf-8"?>
<ds:datastoreItem xmlns:ds="http://schemas.openxmlformats.org/officeDocument/2006/customXml" ds:itemID="{7A451377-E853-4B0E-AB37-D3EFD9AC2461}">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734</Words>
  <Characters>3896</Characters>
  <Application>Microsoft Office Word</Application>
  <DocSecurity>0</DocSecurity>
  <Lines>32</Lines>
  <Paragraphs>9</Paragraphs>
  <ScaleCrop>false</ScaleCrop>
  <HeadingPairs>
    <vt:vector size="6" baseType="variant">
      <vt:variant>
        <vt:lpstr>Nosaukums</vt:lpstr>
      </vt:variant>
      <vt:variant>
        <vt:i4>1</vt:i4>
      </vt:variant>
      <vt:variant>
        <vt:lpstr>Title</vt:lpstr>
      </vt:variant>
      <vt:variant>
        <vt:i4>1</vt:i4>
      </vt:variant>
      <vt:variant>
        <vt:lpstr>Rubrik</vt:lpstr>
      </vt:variant>
      <vt:variant>
        <vt:i4>1</vt:i4>
      </vt:variant>
    </vt:vector>
  </HeadingPairs>
  <TitlesOfParts>
    <vt:vector size="3" baseType="lpstr">
      <vt:lpstr/>
      <vt:lpstr/>
      <vt:lpstr/>
    </vt:vector>
  </TitlesOfParts>
  <Company/>
  <LinksUpToDate>false</LinksUpToDate>
  <CharactersWithSpaces>4621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Viola Kiseļova</dc:creator>
  <cp:lastModifiedBy>Maria Issagouliantis</cp:lastModifiedBy>
  <cp:revision>2</cp:revision>
  <dcterms:created xsi:type="dcterms:W3CDTF">2024-11-18T16:29:00Z</dcterms:created>
  <dcterms:modified xsi:type="dcterms:W3CDTF">2024-11-18T16:29:00Z</dcterms:modified>
</cp:coreProperties>
</file>