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  <w:lang w:val="en-US"/>
        </w:rPr>
        <w:t>Role of Voltage Dependent Anion Channels in the HBV life cycle and associated pathologies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US"/>
        </w:rPr>
        <w:t>Pierre-Louis SCHMIT-VERGELY*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(1,2)</w:t>
      </w:r>
      <w:r>
        <w:rPr>
          <w:rFonts w:ascii="Times New Roman" w:hAnsi="Times New Roman"/>
          <w:sz w:val="22"/>
          <w:szCs w:val="22"/>
          <w:lang w:val="en-US"/>
        </w:rPr>
        <w:t>, Jennifer MOLLE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(1,2)</w:t>
      </w:r>
      <w:r>
        <w:rPr>
          <w:rFonts w:ascii="Times New Roman" w:hAnsi="Times New Roman"/>
          <w:sz w:val="22"/>
          <w:szCs w:val="22"/>
          <w:lang w:val="en-US"/>
        </w:rPr>
        <w:t>, Ahmed GABALLAH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(3)</w:t>
      </w:r>
      <w:r>
        <w:rPr>
          <w:rFonts w:ascii="Times New Roman" w:hAnsi="Times New Roman"/>
          <w:sz w:val="22"/>
          <w:szCs w:val="22"/>
          <w:lang w:val="en-US"/>
        </w:rPr>
        <w:t>, Kathrin WEBER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(1,2)</w:t>
      </w:r>
      <w:r>
        <w:rPr>
          <w:rFonts w:ascii="Times New Roman" w:hAnsi="Times New Roman"/>
          <w:sz w:val="22"/>
          <w:szCs w:val="22"/>
          <w:lang w:val="en-US"/>
        </w:rPr>
        <w:t>, Fabien ZOULIM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(1,2,4)</w:t>
      </w:r>
      <w:r>
        <w:rPr>
          <w:rFonts w:ascii="Times New Roman" w:hAnsi="Times New Roman"/>
          <w:position w:val="0"/>
          <w:sz w:val="22"/>
          <w:sz w:val="22"/>
          <w:szCs w:val="22"/>
          <w:vertAlign w:val="baseline"/>
          <w:lang w:val="en-US"/>
        </w:rPr>
        <w:t>, Birke BARTOSCH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(1,2)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 w:cstheme="minorHAnsi"/>
          <w:sz w:val="22"/>
          <w:szCs w:val="22"/>
          <w:lang w:val="en-US"/>
        </w:rPr>
        <w:t xml:space="preserve">1: </w:t>
      </w:r>
      <w:r>
        <w:rPr>
          <w:rFonts w:cs="Calibri" w:ascii="Times New Roman" w:hAnsi="Times New Roman" w:cstheme="minorHAnsi"/>
          <w:color w:val="212121"/>
          <w:sz w:val="22"/>
          <w:szCs w:val="22"/>
          <w:shd w:fill="FFFFFF" w:val="clear"/>
          <w:lang w:val="en-US"/>
        </w:rPr>
        <w:t>INSERM U1052, CNRS UMR-5286, Cancer Research Center of Lyon (CRCL), Lyon, France.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 w:cstheme="minorHAnsi"/>
          <w:color w:val="212121"/>
          <w:sz w:val="22"/>
          <w:szCs w:val="22"/>
          <w:shd w:fill="FFFFFF" w:val="clear"/>
          <w:lang w:val="en-US"/>
        </w:rPr>
        <w:t>2: University of Lyon, Université Claude-Bernard (UCBL), Lyon, France.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 w:cstheme="minorHAnsi"/>
          <w:color w:val="212121"/>
          <w:sz w:val="22"/>
          <w:szCs w:val="22"/>
          <w:shd w:fill="FFFFFF" w:val="clear"/>
          <w:lang w:val="en-US"/>
        </w:rPr>
        <w:t>3: Microbiology Department, Medical Research Institute, Alexandria University, Egypt.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 w:cstheme="minorHAnsi"/>
          <w:color w:val="212121"/>
          <w:sz w:val="22"/>
          <w:szCs w:val="22"/>
          <w:shd w:fill="FFFFFF" w:val="clear"/>
        </w:rPr>
        <w:t>4: Hospices Civils de Lyon, France.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US"/>
        </w:rPr>
        <w:t>*This author is the speaker</w:t>
      </w:r>
    </w:p>
    <w:p>
      <w:pPr>
        <w:pStyle w:val="Normal"/>
        <w:rPr/>
      </w:pPr>
      <w:r>
        <w:rPr>
          <w:rFonts w:ascii="Times New Roman" w:hAnsi="Times New Roman"/>
          <w:sz w:val="22"/>
          <w:szCs w:val="22"/>
          <w:lang w:val="en-US"/>
        </w:rPr>
        <w:t xml:space="preserve">E-mail address of the speaker : </w:t>
      </w:r>
      <w:hyperlink r:id="rId2">
        <w:r>
          <w:rPr>
            <w:rStyle w:val="LienInternet"/>
            <w:rFonts w:ascii="Times New Roman" w:hAnsi="Times New Roman"/>
            <w:sz w:val="22"/>
            <w:szCs w:val="22"/>
            <w:lang w:val="en-US"/>
          </w:rPr>
          <w:t>pierre-louis.schmit-vergely@inserm.fr</w:t>
        </w:r>
      </w:hyperlink>
    </w:p>
    <w:p>
      <w:pPr>
        <w:pStyle w:val="Normal"/>
        <w:rPr>
          <w:rFonts w:ascii="Times New Roman" w:hAnsi="Times New Roman"/>
          <w:b/>
          <w:b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US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Background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US"/>
        </w:rPr>
        <w:t>Hepatitis B virus (HBV) chronic infection affects about 250 million patients worldwide, and is a major cause of cirrhosis and hepatocellular carcinoma. The viral protein HBx has been shown to interact with Voltage Depend</w:t>
      </w:r>
      <w:r>
        <w:rPr>
          <w:rFonts w:ascii="Times New Roman" w:hAnsi="Times New Roman"/>
          <w:sz w:val="22"/>
          <w:szCs w:val="22"/>
          <w:lang w:val="en-US"/>
        </w:rPr>
        <w:t>e</w:t>
      </w:r>
      <w:r>
        <w:rPr>
          <w:rFonts w:ascii="Times New Roman" w:hAnsi="Times New Roman"/>
          <w:sz w:val="22"/>
          <w:szCs w:val="22"/>
          <w:lang w:val="en-US"/>
        </w:rPr>
        <w:t>nt Anion Channel 3 (VDAC3)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1</w:t>
      </w:r>
      <w:r>
        <w:rPr>
          <w:rFonts w:ascii="Times New Roman" w:hAnsi="Times New Roman"/>
          <w:sz w:val="22"/>
          <w:szCs w:val="22"/>
          <w:lang w:val="en-US"/>
        </w:rPr>
        <w:t xml:space="preserve"> and is suspected to interact with its isoform VDAC1, a porin spanning the outer mitochondrial membrane (OMM). Moreover, it has been demonstrated that HBx affects the mitochondrial metabolism and apoptotic function</w:t>
      </w:r>
      <w:r>
        <w:rPr>
          <w:rFonts w:ascii="Times New Roman" w:hAnsi="Times New Roman"/>
          <w:sz w:val="22"/>
          <w:szCs w:val="22"/>
          <w:vertAlign w:val="superscript"/>
          <w:lang w:val="en-US"/>
        </w:rPr>
        <w:t>2,3,4</w:t>
      </w:r>
      <w:r>
        <w:rPr>
          <w:rFonts w:ascii="Times New Roman" w:hAnsi="Times New Roman"/>
          <w:sz w:val="22"/>
          <w:szCs w:val="22"/>
          <w:lang w:val="en-US"/>
        </w:rPr>
        <w:t xml:space="preserve">. </w:t>
      </w:r>
      <w:r>
        <w:rPr>
          <w:rFonts w:ascii="Times New Roman" w:hAnsi="Times New Roman"/>
          <w:sz w:val="22"/>
          <w:szCs w:val="22"/>
          <w:lang w:val="en-US"/>
        </w:rPr>
        <w:t>Here</w:t>
      </w:r>
      <w:r>
        <w:rPr>
          <w:rFonts w:ascii="Times New Roman" w:hAnsi="Times New Roman"/>
          <w:sz w:val="22"/>
          <w:szCs w:val="22"/>
          <w:lang w:val="en-US"/>
        </w:rPr>
        <w:t>, we investigate th</w:t>
      </w:r>
      <w:r>
        <w:rPr>
          <w:rFonts w:ascii="Times New Roman" w:hAnsi="Times New Roman"/>
          <w:sz w:val="22"/>
          <w:szCs w:val="22"/>
          <w:lang w:val="en-US"/>
        </w:rPr>
        <w:t>e</w:t>
      </w:r>
      <w:r>
        <w:rPr>
          <w:rFonts w:ascii="Times New Roman" w:hAnsi="Times New Roman"/>
          <w:sz w:val="22"/>
          <w:szCs w:val="22"/>
          <w:lang w:val="en-US"/>
        </w:rPr>
        <w:t xml:space="preserve"> interaction </w:t>
      </w:r>
      <w:r>
        <w:rPr>
          <w:rFonts w:ascii="Times New Roman" w:hAnsi="Times New Roman"/>
          <w:sz w:val="22"/>
          <w:szCs w:val="22"/>
          <w:lang w:val="en-US"/>
        </w:rPr>
        <w:t>of HBx protein with</w:t>
      </w:r>
      <w:r>
        <w:rPr>
          <w:rFonts w:ascii="Times New Roman" w:hAnsi="Times New Roman"/>
          <w:sz w:val="22"/>
          <w:szCs w:val="22"/>
          <w:lang w:val="en-US"/>
        </w:rPr>
        <w:t xml:space="preserve"> VDAC1 </w:t>
      </w:r>
      <w:r>
        <w:rPr>
          <w:rFonts w:ascii="Times New Roman" w:hAnsi="Times New Roman"/>
          <w:sz w:val="22"/>
          <w:szCs w:val="22"/>
          <w:lang w:val="en-US"/>
        </w:rPr>
        <w:t>and the consequences on mitochondrial roles in metabolism and apoptosis.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Material and Methods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Immuno-precipitation techniques were used to purify either VDAC1 and its interactome, or whole mitochondria from HepG2 cells engineered to </w:t>
      </w:r>
      <w:r>
        <w:rPr>
          <w:rFonts w:ascii="Times New Roman" w:hAnsi="Times New Roman"/>
          <w:sz w:val="22"/>
          <w:szCs w:val="22"/>
          <w:lang w:val="en-US"/>
        </w:rPr>
        <w:t>inducibly</w:t>
      </w:r>
      <w:r>
        <w:rPr>
          <w:rFonts w:ascii="Times New Roman" w:hAnsi="Times New Roman"/>
          <w:sz w:val="22"/>
          <w:szCs w:val="22"/>
          <w:lang w:val="en-US"/>
        </w:rPr>
        <w:t xml:space="preserve"> express HBx. The effects of HBx on VDAC1-mediated apoptosis were explored with cell viability assays based on Neutral Red, SRB stains </w:t>
      </w:r>
      <w:r>
        <w:rPr>
          <w:rFonts w:ascii="Times New Roman" w:hAnsi="Times New Roman"/>
          <w:sz w:val="22"/>
          <w:szCs w:val="22"/>
          <w:lang w:val="en-US"/>
        </w:rPr>
        <w:t>and cytochrome c release assay</w:t>
      </w:r>
      <w:r>
        <w:rPr>
          <w:rFonts w:ascii="Times New Roman" w:hAnsi="Times New Roman"/>
          <w:sz w:val="22"/>
          <w:szCs w:val="22"/>
          <w:lang w:val="en-US"/>
        </w:rPr>
        <w:t xml:space="preserve"> in the presence of cytotoxic drugs.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Results</w:t>
      </w:r>
    </w:p>
    <w:p>
      <w:pPr>
        <w:pStyle w:val="Normal"/>
        <w:jc w:val="both"/>
        <w:rPr/>
      </w:pPr>
      <w:r>
        <w:rPr>
          <w:rFonts w:ascii="Times New Roman" w:hAnsi="Times New Roman"/>
          <w:sz w:val="22"/>
          <w:szCs w:val="22"/>
          <w:lang w:val="en-US"/>
        </w:rPr>
        <w:t>We validated an interaction between HBx and VDAC1 by immuno-precipitation using an anti-VDAC1 antibody.</w:t>
      </w:r>
      <w:r>
        <w:rPr>
          <w:rFonts w:ascii="Times New Roman" w:hAnsi="Times New Roman"/>
          <w:sz w:val="22"/>
          <w:szCs w:val="22"/>
          <w:lang w:val="en-US"/>
        </w:rPr>
        <w:t xml:space="preserve"> HBx was also detected in isolated whole mitochondria. Finally, Neutral Red, SRB </w:t>
      </w:r>
      <w:r>
        <w:rPr>
          <w:rFonts w:ascii="Times New Roman" w:hAnsi="Times New Roman"/>
          <w:sz w:val="22"/>
          <w:szCs w:val="22"/>
          <w:lang w:val="en-US"/>
        </w:rPr>
        <w:t xml:space="preserve">stain and cytochrome c release assays </w:t>
      </w:r>
      <w:r>
        <w:rPr>
          <w:rFonts w:ascii="Times New Roman" w:hAnsi="Times New Roman"/>
          <w:sz w:val="22"/>
          <w:szCs w:val="22"/>
          <w:lang w:val="en-US"/>
        </w:rPr>
        <w:t xml:space="preserve">showed a significant cytoprotective effect of HBx against various </w:t>
      </w:r>
      <w:r>
        <w:rPr>
          <w:rFonts w:ascii="Times New Roman" w:hAnsi="Times New Roman"/>
          <w:sz w:val="22"/>
          <w:szCs w:val="22"/>
          <w:lang w:val="en-US"/>
        </w:rPr>
        <w:t xml:space="preserve">cytotoxic </w:t>
      </w:r>
      <w:r>
        <w:rPr>
          <w:rFonts w:ascii="Times New Roman" w:hAnsi="Times New Roman"/>
          <w:sz w:val="22"/>
          <w:szCs w:val="22"/>
          <w:lang w:val="en-US"/>
        </w:rPr>
        <w:t xml:space="preserve">drugs </w:t>
      </w:r>
      <w:r>
        <w:rPr>
          <w:rFonts w:ascii="Times New Roman" w:hAnsi="Times New Roman"/>
          <w:sz w:val="22"/>
          <w:szCs w:val="22"/>
          <w:lang w:val="en-US"/>
        </w:rPr>
        <w:t>acting potentially via</w:t>
      </w:r>
      <w:r>
        <w:rPr>
          <w:rFonts w:ascii="Times New Roman" w:hAnsi="Times New Roman"/>
          <w:sz w:val="22"/>
          <w:szCs w:val="22"/>
          <w:lang w:val="en-US"/>
        </w:rPr>
        <w:t xml:space="preserve"> VDAC1. 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Conclusion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These results suggest that HBx localizes to mitochondria, </w:t>
      </w:r>
      <w:r>
        <w:rPr>
          <w:rFonts w:ascii="Times New Roman" w:hAnsi="Times New Roman"/>
          <w:sz w:val="22"/>
          <w:szCs w:val="22"/>
          <w:lang w:val="en-US"/>
        </w:rPr>
        <w:t>where it</w:t>
      </w:r>
      <w:r>
        <w:rPr>
          <w:rFonts w:ascii="Times New Roman" w:hAnsi="Times New Roman"/>
          <w:sz w:val="22"/>
          <w:szCs w:val="22"/>
          <w:lang w:val="en-US"/>
        </w:rPr>
        <w:t xml:space="preserve"> interacts with VDAC1 and </w:t>
      </w:r>
      <w:r>
        <w:rPr>
          <w:rFonts w:ascii="Times New Roman" w:hAnsi="Times New Roman"/>
          <w:sz w:val="22"/>
          <w:szCs w:val="22"/>
          <w:lang w:val="en-US"/>
        </w:rPr>
        <w:t xml:space="preserve">potentially </w:t>
      </w:r>
      <w:r>
        <w:rPr>
          <w:rFonts w:ascii="Times New Roman" w:hAnsi="Times New Roman"/>
          <w:sz w:val="22"/>
          <w:szCs w:val="22"/>
          <w:lang w:val="en-US"/>
        </w:rPr>
        <w:t xml:space="preserve">alters its apoptotic function. We are working to expand these results to </w:t>
      </w:r>
      <w:r>
        <w:rPr>
          <w:rFonts w:ascii="Times New Roman" w:hAnsi="Times New Roman"/>
          <w:sz w:val="22"/>
          <w:szCs w:val="22"/>
          <w:lang w:val="en-US"/>
        </w:rPr>
        <w:t>a physiologically more relevant infection system (HBV virus / Primary Human Hepatocytes)</w:t>
      </w:r>
      <w:r>
        <w:rPr>
          <w:rFonts w:ascii="Times New Roman" w:hAnsi="Times New Roman"/>
          <w:sz w:val="22"/>
          <w:szCs w:val="22"/>
          <w:lang w:val="en-US"/>
        </w:rPr>
        <w:t xml:space="preserve">. Moreover, we developed a fast immuno-precipitation </w:t>
      </w:r>
      <w:r>
        <w:rPr>
          <w:rFonts w:ascii="Times New Roman" w:hAnsi="Times New Roman"/>
          <w:sz w:val="22"/>
          <w:szCs w:val="22"/>
          <w:lang w:val="en-US"/>
        </w:rPr>
        <w:t>method</w:t>
      </w:r>
      <w:r>
        <w:rPr>
          <w:rFonts w:ascii="Times New Roman" w:hAnsi="Times New Roman"/>
          <w:sz w:val="22"/>
          <w:szCs w:val="22"/>
          <w:lang w:val="en-US"/>
        </w:rPr>
        <w:t xml:space="preserve"> of whole mitochondria, suitable for mass spectrometry analysis of metabolites, to determin</w:t>
      </w:r>
      <w:r>
        <w:rPr>
          <w:rFonts w:ascii="Times New Roman" w:hAnsi="Times New Roman"/>
          <w:sz w:val="22"/>
          <w:szCs w:val="22"/>
          <w:lang w:val="en-US"/>
        </w:rPr>
        <w:t>e</w:t>
      </w:r>
      <w:r>
        <w:rPr>
          <w:rFonts w:ascii="Times New Roman" w:hAnsi="Times New Roman"/>
          <w:sz w:val="22"/>
          <w:szCs w:val="22"/>
          <w:lang w:val="en-US"/>
        </w:rPr>
        <w:t xml:space="preserve"> how HBx affects the proteome and metabolome of mitochondria. Ultimately, these discoveries will help us understand the role of mitochondria in the pathobiology of HBV.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References</w:t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121"/>
          <w:spacing w:val="0"/>
          <w:sz w:val="22"/>
          <w:szCs w:val="22"/>
          <w:lang w:val="en-US"/>
        </w:rPr>
        <w:t>Rahmani Z, Huh KW, Lasher R, Siddiqui A. Hepatitis B virus X protein colocalizes to mitochondria with a human voltage-dependent anion channel, HVDAC3, and alters its transmembrane potential. J Virol. 2000 Mar;74(6):2840-6. doi: 10.1128/jvi.74.6.2840-2846.2000.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 </w:t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sz w:val="22"/>
          <w:szCs w:val="22"/>
          <w:lang w:val="en-US"/>
        </w:rPr>
      </w:pPr>
      <w:r>
        <w:rPr>
          <w:rFonts w:ascii="BlinkMacSystemFont;apple-system;Segoe UI;Roboto;Oxygen;Ubuntu;Cantarell;Fira Sans;Droid Sans;Helvetica Neue;sans-serif" w:hAnsi="BlinkMacSystemFont;apple-system;Segoe UI;Roboto;Oxygen;Ubuntu;Cantarell;Fira Sans;Droid Sans;Helvetica Neue;sans-serif"/>
          <w:b w:val="false"/>
          <w:i w:val="false"/>
          <w:caps w:val="false"/>
          <w:smallCaps w:val="false"/>
          <w:color w:val="212121"/>
          <w:spacing w:val="0"/>
          <w:sz w:val="19"/>
          <w:szCs w:val="22"/>
          <w:lang w:val="en-US"/>
        </w:rPr>
        <w:t>C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121"/>
          <w:spacing w:val="0"/>
          <w:sz w:val="22"/>
          <w:szCs w:val="22"/>
          <w:lang w:val="en-US"/>
        </w:rPr>
        <w:t xml:space="preserve">lippinger AJ, Bouchard MJ. Hepatitis B virus HBx protein localizes to mitochondria in primary rat hepatocytes and modulates mitochondrial membrane potential. J Virol. 2008 Jul;82(14):6798-811. doi: 10.1128/JVI.00154-08. </w:t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212121"/>
          <w:spacing w:val="0"/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121"/>
          <w:spacing w:val="0"/>
          <w:sz w:val="22"/>
          <w:szCs w:val="22"/>
          <w:lang w:val="en-US"/>
        </w:rPr>
        <w:t>Hepatitis B virus X protein reduces starvation-induced cell death through activation of autophagy and inhibition of mitochondrial apoptotic pathway</w:t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212121"/>
          <w:spacing w:val="0"/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121"/>
          <w:spacing w:val="0"/>
          <w:sz w:val="22"/>
          <w:szCs w:val="22"/>
          <w:lang w:val="en-US"/>
        </w:rPr>
        <w:t>Association of hepatitis B virus X protein with mitochondria causes mitochondrial aggregation at the nuclear periphery, leading to cell death</w:t>
      </w:r>
    </w:p>
    <w:p>
      <w:pPr>
        <w:pStyle w:val="Normal"/>
        <w:rPr>
          <w:rFonts w:ascii="Times New Roman" w:hAnsi="Times New Roman"/>
          <w:b/>
          <w:b/>
          <w:bCs/>
          <w:i w:val="false"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</w:pPr>
      <w:r>
        <w:rPr>
          <w:rFonts w:ascii="Times New Roman" w:hAnsi="Times New Roman"/>
          <w:b/>
          <w:bCs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</w:r>
    </w:p>
    <w:p>
      <w:pPr>
        <w:pStyle w:val="Normal"/>
        <w:rPr>
          <w:rFonts w:ascii="Times New Roman" w:hAnsi="Times New Roman"/>
          <w:b/>
          <w:b/>
          <w:bCs/>
          <w:i w:val="false"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</w:pPr>
      <w:r>
        <w:rPr>
          <w:rFonts w:ascii="Times New Roman" w:hAnsi="Times New Roman"/>
          <w:b/>
          <w:bCs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</w:r>
    </w:p>
    <w:p>
      <w:pPr>
        <w:pStyle w:val="Normal"/>
        <w:rPr>
          <w:rFonts w:ascii="Times New Roman" w:hAnsi="Times New Roman"/>
          <w:b/>
          <w:b/>
          <w:bCs/>
          <w:i w:val="false"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</w:pPr>
      <w:r>
        <w:rPr>
          <w:rFonts w:ascii="Times New Roman" w:hAnsi="Times New Roman"/>
          <w:b/>
          <w:bCs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</w:r>
    </w:p>
    <w:p>
      <w:pPr>
        <w:pStyle w:val="Normal"/>
        <w:rPr>
          <w:rFonts w:ascii="Times New Roman" w:hAnsi="Times New Roman"/>
          <w:b/>
          <w:b/>
          <w:bCs/>
          <w:i w:val="false"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</w:pPr>
      <w:r>
        <w:rPr>
          <w:rFonts w:ascii="Times New Roman" w:hAnsi="Times New Roman"/>
          <w:b/>
          <w:bCs/>
          <w:i w:val="false"/>
          <w:iCs w:val="false"/>
          <w:caps w:val="false"/>
          <w:smallCaps w:val="false"/>
          <w:color w:val="212121"/>
          <w:spacing w:val="0"/>
          <w:sz w:val="22"/>
          <w:szCs w:val="22"/>
          <w:u w:val="single"/>
          <w:lang w:val="en-US"/>
        </w:rPr>
        <w:t>Graphical abstract</w:t>
      </w:r>
    </w:p>
    <w:p>
      <w:pPr>
        <w:pStyle w:val="Normal"/>
        <w:spacing w:before="0" w:after="160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212121"/>
          <w:spacing w:val="0"/>
          <w:sz w:val="22"/>
          <w:szCs w:val="22"/>
          <w:lang w:val="en-US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219315" cy="405955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315" cy="4059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linkMacSystemFont">
    <w:altName w:val="apple-system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379e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rsid w:val="005379e0"/>
    <w:rPr>
      <w:color w:val="0563C1" w:themeColor="hyperlink"/>
      <w:u w:val="single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ierre-louis.schmit-vergely@inserm.fr" TargetMode="External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LibreOffice/7.3.0.3$Windows_X86_64 LibreOffice_project/0f246aa12d0eee4a0f7adcefbf7c878fc2238db3</Application>
  <AppVersion>15.0000</AppVersion>
  <Pages>2</Pages>
  <Words>459</Words>
  <Characters>2883</Characters>
  <CharactersWithSpaces>3319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2024-05-16T16:29:00Z</dcterms:created>
  <dc:creator>plschmitver</dc:creator>
  <dc:description/>
  <dc:language>fr-FR</dc:language>
  <cp:lastModifiedBy/>
  <dcterms:modified xsi:type="dcterms:W3CDTF">2024-10-24T16:40:26Z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